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3" w:type="dxa"/>
        <w:tblBorders>
          <w:top w:val="single" w:sz="12" w:space="0" w:color="A1A1A1"/>
          <w:left w:val="single" w:sz="12" w:space="0" w:color="A1A1A1"/>
          <w:bottom w:val="single" w:sz="12" w:space="0" w:color="A1A1A1"/>
          <w:right w:val="single" w:sz="12" w:space="0" w:color="A1A1A1"/>
          <w:insideH w:val="single" w:sz="12" w:space="0" w:color="A1A1A1"/>
          <w:insideV w:val="single" w:sz="12" w:space="0" w:color="A1A1A1"/>
        </w:tblBorders>
        <w:tblLayout w:type="fixed"/>
        <w:tblCellMar>
          <w:left w:w="0" w:type="dxa"/>
          <w:right w:w="0" w:type="dxa"/>
        </w:tblCellMar>
        <w:tblLook w:val="01E0" w:firstRow="1" w:lastRow="1" w:firstColumn="1" w:lastColumn="1" w:noHBand="0" w:noVBand="0"/>
      </w:tblPr>
      <w:tblGrid>
        <w:gridCol w:w="6881"/>
        <w:gridCol w:w="3370"/>
      </w:tblGrid>
      <w:tr w:rsidR="00541D96" w:rsidRPr="005F0116" w14:paraId="5F29A84A" w14:textId="77777777" w:rsidTr="004A4106">
        <w:trPr>
          <w:trHeight w:val="356"/>
        </w:trPr>
        <w:tc>
          <w:tcPr>
            <w:tcW w:w="10251" w:type="dxa"/>
            <w:gridSpan w:val="2"/>
            <w:tcBorders>
              <w:left w:val="single" w:sz="12" w:space="0" w:color="F0F0F0"/>
              <w:bottom w:val="thinThickThinSmallGap" w:sz="12" w:space="0" w:color="A1A1A1"/>
            </w:tcBorders>
            <w:shd w:val="clear" w:color="auto" w:fill="0069B3"/>
          </w:tcPr>
          <w:p w14:paraId="3F774F4A" w14:textId="77777777" w:rsidR="00541D96" w:rsidRPr="005F0116" w:rsidRDefault="00541D96" w:rsidP="004A4106">
            <w:pPr>
              <w:pStyle w:val="TableParagraph"/>
              <w:spacing w:before="15"/>
              <w:ind w:left="82"/>
              <w:rPr>
                <w:rFonts w:asciiTheme="minorHAnsi" w:hAnsiTheme="minorHAnsi" w:cstheme="minorHAnsi"/>
                <w:b/>
                <w:sz w:val="24"/>
                <w:szCs w:val="24"/>
              </w:rPr>
            </w:pPr>
            <w:r w:rsidRPr="005F0116">
              <w:rPr>
                <w:rFonts w:asciiTheme="minorHAnsi" w:hAnsiTheme="minorHAnsi" w:cstheme="minorHAnsi"/>
                <w:b/>
                <w:color w:val="FFFFFF"/>
                <w:sz w:val="24"/>
                <w:szCs w:val="24"/>
              </w:rPr>
              <w:t>BHS</w:t>
            </w:r>
            <w:r w:rsidRPr="005F0116">
              <w:rPr>
                <w:rFonts w:asciiTheme="minorHAnsi" w:hAnsiTheme="minorHAnsi" w:cstheme="minorHAnsi"/>
                <w:b/>
                <w:color w:val="FFFFFF"/>
                <w:spacing w:val="-1"/>
                <w:sz w:val="24"/>
                <w:szCs w:val="24"/>
              </w:rPr>
              <w:t xml:space="preserve"> </w:t>
            </w:r>
            <w:r w:rsidRPr="005F0116">
              <w:rPr>
                <w:rFonts w:asciiTheme="minorHAnsi" w:hAnsiTheme="minorHAnsi" w:cstheme="minorHAnsi"/>
                <w:b/>
                <w:color w:val="FFFFFF"/>
                <w:sz w:val="24"/>
                <w:szCs w:val="24"/>
              </w:rPr>
              <w:t>Policies</w:t>
            </w:r>
            <w:r w:rsidRPr="005F0116">
              <w:rPr>
                <w:rFonts w:asciiTheme="minorHAnsi" w:hAnsiTheme="minorHAnsi" w:cstheme="minorHAnsi"/>
                <w:b/>
                <w:color w:val="FFFFFF"/>
                <w:spacing w:val="-2"/>
                <w:sz w:val="24"/>
                <w:szCs w:val="24"/>
              </w:rPr>
              <w:t xml:space="preserve"> </w:t>
            </w:r>
            <w:r w:rsidRPr="005F0116">
              <w:rPr>
                <w:rFonts w:asciiTheme="minorHAnsi" w:hAnsiTheme="minorHAnsi" w:cstheme="minorHAnsi"/>
                <w:b/>
                <w:color w:val="FFFFFF"/>
                <w:sz w:val="24"/>
                <w:szCs w:val="24"/>
              </w:rPr>
              <w:t>and</w:t>
            </w:r>
            <w:r w:rsidRPr="005F0116">
              <w:rPr>
                <w:rFonts w:asciiTheme="minorHAnsi" w:hAnsiTheme="minorHAnsi" w:cstheme="minorHAnsi"/>
                <w:b/>
                <w:color w:val="FFFFFF"/>
                <w:spacing w:val="-1"/>
                <w:sz w:val="24"/>
                <w:szCs w:val="24"/>
              </w:rPr>
              <w:t xml:space="preserve"> </w:t>
            </w:r>
            <w:r w:rsidRPr="005F0116">
              <w:rPr>
                <w:rFonts w:asciiTheme="minorHAnsi" w:hAnsiTheme="minorHAnsi" w:cstheme="minorHAnsi"/>
                <w:b/>
                <w:color w:val="FFFFFF"/>
                <w:sz w:val="24"/>
                <w:szCs w:val="24"/>
              </w:rPr>
              <w:t>Procedures</w:t>
            </w:r>
          </w:p>
        </w:tc>
      </w:tr>
      <w:tr w:rsidR="00541D96" w:rsidRPr="005F0116" w14:paraId="1AF91EBD" w14:textId="77777777" w:rsidTr="004A4106">
        <w:trPr>
          <w:trHeight w:val="1170"/>
        </w:trPr>
        <w:tc>
          <w:tcPr>
            <w:tcW w:w="6881" w:type="dxa"/>
            <w:tcBorders>
              <w:top w:val="thinThickThinSmallGap" w:sz="12" w:space="0" w:color="0069B3"/>
              <w:left w:val="double" w:sz="6" w:space="0" w:color="F0F0F0"/>
              <w:bottom w:val="double" w:sz="6" w:space="0" w:color="A1A1A1"/>
              <w:right w:val="double" w:sz="6" w:space="0" w:color="A1A1A1"/>
            </w:tcBorders>
            <w:vAlign w:val="center"/>
          </w:tcPr>
          <w:p w14:paraId="5C2A19FD" w14:textId="77777777" w:rsidR="00541D96" w:rsidRPr="005F0116" w:rsidRDefault="00541D96" w:rsidP="004A4106">
            <w:pPr>
              <w:pStyle w:val="TableParagraph"/>
              <w:spacing w:before="35"/>
              <w:ind w:left="1317" w:right="1500"/>
              <w:rPr>
                <w:rFonts w:asciiTheme="minorHAnsi" w:hAnsiTheme="minorHAnsi" w:cstheme="minorHAnsi"/>
                <w:sz w:val="24"/>
                <w:szCs w:val="24"/>
              </w:rPr>
            </w:pPr>
            <w:r w:rsidRPr="005F0116">
              <w:rPr>
                <w:rFonts w:asciiTheme="minorHAnsi" w:hAnsiTheme="minorHAnsi" w:cstheme="minorHAnsi"/>
                <w:noProof/>
                <w:sz w:val="24"/>
                <w:szCs w:val="24"/>
              </w:rPr>
              <w:drawing>
                <wp:anchor distT="0" distB="0" distL="114300" distR="114300" simplePos="0" relativeHeight="251660288" behindDoc="0" locked="0" layoutInCell="1" allowOverlap="1" wp14:anchorId="6B2BD8FF" wp14:editId="0C30A48A">
                  <wp:simplePos x="0" y="0"/>
                  <wp:positionH relativeFrom="column">
                    <wp:posOffset>-669925</wp:posOffset>
                  </wp:positionH>
                  <wp:positionV relativeFrom="page">
                    <wp:posOffset>10160</wp:posOffset>
                  </wp:positionV>
                  <wp:extent cx="809625" cy="723900"/>
                  <wp:effectExtent l="0" t="0" r="9525"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0116">
              <w:rPr>
                <w:rFonts w:asciiTheme="minorHAnsi" w:hAnsiTheme="minorHAnsi" w:cstheme="minorHAnsi"/>
                <w:sz w:val="24"/>
                <w:szCs w:val="24"/>
              </w:rPr>
              <w:t>City and County of San Francisco</w:t>
            </w:r>
            <w:r w:rsidRPr="005F0116">
              <w:rPr>
                <w:rFonts w:asciiTheme="minorHAnsi" w:hAnsiTheme="minorHAnsi" w:cstheme="minorHAnsi"/>
                <w:spacing w:val="-58"/>
                <w:sz w:val="24"/>
                <w:szCs w:val="24"/>
              </w:rPr>
              <w:t xml:space="preserve"> </w:t>
            </w:r>
            <w:r w:rsidRPr="005F0116">
              <w:rPr>
                <w:rFonts w:asciiTheme="minorHAnsi" w:hAnsiTheme="minorHAnsi" w:cstheme="minorHAnsi"/>
                <w:sz w:val="24"/>
                <w:szCs w:val="24"/>
              </w:rPr>
              <w:t>Department</w:t>
            </w:r>
            <w:r w:rsidRPr="005F0116">
              <w:rPr>
                <w:rFonts w:asciiTheme="minorHAnsi" w:hAnsiTheme="minorHAnsi" w:cstheme="minorHAnsi"/>
                <w:spacing w:val="-1"/>
                <w:sz w:val="24"/>
                <w:szCs w:val="24"/>
              </w:rPr>
              <w:t xml:space="preserve"> </w:t>
            </w:r>
            <w:r w:rsidRPr="005F0116">
              <w:rPr>
                <w:rFonts w:asciiTheme="minorHAnsi" w:hAnsiTheme="minorHAnsi" w:cstheme="minorHAnsi"/>
                <w:sz w:val="24"/>
                <w:szCs w:val="24"/>
              </w:rPr>
              <w:t>of</w:t>
            </w:r>
            <w:r w:rsidRPr="005F0116">
              <w:rPr>
                <w:rFonts w:asciiTheme="minorHAnsi" w:hAnsiTheme="minorHAnsi" w:cstheme="minorHAnsi"/>
                <w:spacing w:val="-1"/>
                <w:sz w:val="24"/>
                <w:szCs w:val="24"/>
              </w:rPr>
              <w:t xml:space="preserve"> </w:t>
            </w:r>
            <w:r w:rsidRPr="005F0116">
              <w:rPr>
                <w:rFonts w:asciiTheme="minorHAnsi" w:hAnsiTheme="minorHAnsi" w:cstheme="minorHAnsi"/>
                <w:sz w:val="24"/>
                <w:szCs w:val="24"/>
              </w:rPr>
              <w:t>Public</w:t>
            </w:r>
            <w:r w:rsidRPr="005F0116">
              <w:rPr>
                <w:rFonts w:asciiTheme="minorHAnsi" w:hAnsiTheme="minorHAnsi" w:cstheme="minorHAnsi"/>
                <w:spacing w:val="-2"/>
                <w:sz w:val="24"/>
                <w:szCs w:val="24"/>
              </w:rPr>
              <w:t xml:space="preserve"> </w:t>
            </w:r>
            <w:r w:rsidRPr="005F0116">
              <w:rPr>
                <w:rFonts w:asciiTheme="minorHAnsi" w:hAnsiTheme="minorHAnsi" w:cstheme="minorHAnsi"/>
                <w:sz w:val="24"/>
                <w:szCs w:val="24"/>
              </w:rPr>
              <w:t>Health</w:t>
            </w:r>
          </w:p>
          <w:p w14:paraId="5633E975" w14:textId="77777777" w:rsidR="00541D96" w:rsidRPr="005F0116" w:rsidRDefault="00541D96" w:rsidP="004A4106">
            <w:pPr>
              <w:pStyle w:val="TableParagraph"/>
              <w:ind w:left="1317" w:right="1500"/>
              <w:rPr>
                <w:rFonts w:asciiTheme="minorHAnsi" w:hAnsiTheme="minorHAnsi" w:cstheme="minorHAnsi"/>
                <w:sz w:val="24"/>
                <w:szCs w:val="24"/>
              </w:rPr>
            </w:pPr>
            <w:r w:rsidRPr="005F0116">
              <w:rPr>
                <w:rFonts w:asciiTheme="minorHAnsi" w:hAnsiTheme="minorHAnsi" w:cstheme="minorHAnsi"/>
                <w:sz w:val="24"/>
                <w:szCs w:val="24"/>
              </w:rPr>
              <w:t>San Francisco Health Network</w:t>
            </w:r>
            <w:r w:rsidRPr="005F0116">
              <w:rPr>
                <w:rFonts w:asciiTheme="minorHAnsi" w:hAnsiTheme="minorHAnsi" w:cstheme="minorHAnsi"/>
                <w:spacing w:val="1"/>
                <w:sz w:val="24"/>
                <w:szCs w:val="24"/>
              </w:rPr>
              <w:t xml:space="preserve"> </w:t>
            </w:r>
            <w:r w:rsidRPr="005F0116">
              <w:rPr>
                <w:rFonts w:asciiTheme="minorHAnsi" w:hAnsiTheme="minorHAnsi" w:cstheme="minorHAnsi"/>
                <w:sz w:val="24"/>
                <w:szCs w:val="24"/>
              </w:rPr>
              <w:t>BEHAVIORAL</w:t>
            </w:r>
            <w:r w:rsidRPr="005F0116">
              <w:rPr>
                <w:rFonts w:asciiTheme="minorHAnsi" w:hAnsiTheme="minorHAnsi" w:cstheme="minorHAnsi"/>
                <w:spacing w:val="-8"/>
                <w:sz w:val="24"/>
                <w:szCs w:val="24"/>
              </w:rPr>
              <w:t xml:space="preserve"> </w:t>
            </w:r>
            <w:r w:rsidRPr="005F0116">
              <w:rPr>
                <w:rFonts w:asciiTheme="minorHAnsi" w:hAnsiTheme="minorHAnsi" w:cstheme="minorHAnsi"/>
                <w:sz w:val="24"/>
                <w:szCs w:val="24"/>
              </w:rPr>
              <w:t>HEALTH</w:t>
            </w:r>
            <w:r w:rsidRPr="005F0116">
              <w:rPr>
                <w:rFonts w:asciiTheme="minorHAnsi" w:hAnsiTheme="minorHAnsi" w:cstheme="minorHAnsi"/>
                <w:spacing w:val="-6"/>
                <w:sz w:val="24"/>
                <w:szCs w:val="24"/>
              </w:rPr>
              <w:t xml:space="preserve"> S</w:t>
            </w:r>
            <w:r w:rsidRPr="005F0116">
              <w:rPr>
                <w:rFonts w:asciiTheme="minorHAnsi" w:hAnsiTheme="minorHAnsi" w:cstheme="minorHAnsi"/>
                <w:sz w:val="24"/>
                <w:szCs w:val="24"/>
              </w:rPr>
              <w:t>ERVICES</w:t>
            </w:r>
          </w:p>
        </w:tc>
        <w:tc>
          <w:tcPr>
            <w:tcW w:w="3370" w:type="dxa"/>
            <w:tcBorders>
              <w:top w:val="thinThickThinSmallGap" w:sz="12" w:space="0" w:color="0069B3"/>
              <w:left w:val="double" w:sz="6" w:space="0" w:color="A1A1A1"/>
              <w:bottom w:val="double" w:sz="6" w:space="0" w:color="A1A1A1"/>
              <w:right w:val="double" w:sz="6" w:space="0" w:color="A1A1A1"/>
            </w:tcBorders>
          </w:tcPr>
          <w:p w14:paraId="20901296" w14:textId="77777777" w:rsidR="00541D96" w:rsidRPr="00474EFC" w:rsidRDefault="00541D96" w:rsidP="004A4106">
            <w:pPr>
              <w:pStyle w:val="TableParagraph"/>
              <w:spacing w:before="35"/>
              <w:ind w:left="849" w:right="6" w:hanging="473"/>
              <w:jc w:val="right"/>
              <w:rPr>
                <w:rFonts w:asciiTheme="minorHAnsi" w:hAnsiTheme="minorHAnsi" w:cstheme="minorHAnsi"/>
                <w:sz w:val="24"/>
                <w:szCs w:val="24"/>
              </w:rPr>
            </w:pPr>
            <w:r w:rsidRPr="00474EFC">
              <w:rPr>
                <w:rFonts w:asciiTheme="minorHAnsi" w:hAnsiTheme="minorHAnsi" w:cstheme="minorHAnsi"/>
                <w:sz w:val="24"/>
                <w:szCs w:val="24"/>
              </w:rPr>
              <w:t>1380 Howard Street, 5</w:t>
            </w:r>
            <w:r w:rsidRPr="00474EFC">
              <w:rPr>
                <w:rFonts w:asciiTheme="minorHAnsi" w:hAnsiTheme="minorHAnsi" w:cstheme="minorHAnsi"/>
                <w:sz w:val="24"/>
                <w:szCs w:val="24"/>
                <w:vertAlign w:val="superscript"/>
              </w:rPr>
              <w:t>th</w:t>
            </w:r>
            <w:r w:rsidRPr="00474EFC">
              <w:rPr>
                <w:rFonts w:asciiTheme="minorHAnsi" w:hAnsiTheme="minorHAnsi" w:cstheme="minorHAnsi"/>
                <w:sz w:val="24"/>
                <w:szCs w:val="24"/>
              </w:rPr>
              <w:t xml:space="preserve"> Floor </w:t>
            </w:r>
            <w:r w:rsidRPr="00474EFC">
              <w:rPr>
                <w:rFonts w:asciiTheme="minorHAnsi" w:hAnsiTheme="minorHAnsi" w:cstheme="minorHAnsi"/>
                <w:spacing w:val="-57"/>
                <w:sz w:val="24"/>
                <w:szCs w:val="24"/>
              </w:rPr>
              <w:t xml:space="preserve">   </w:t>
            </w:r>
            <w:r w:rsidRPr="00474EFC">
              <w:rPr>
                <w:rFonts w:asciiTheme="minorHAnsi" w:hAnsiTheme="minorHAnsi" w:cstheme="minorHAnsi"/>
                <w:sz w:val="24"/>
                <w:szCs w:val="24"/>
              </w:rPr>
              <w:t>San</w:t>
            </w:r>
            <w:r w:rsidRPr="00474EFC">
              <w:rPr>
                <w:rFonts w:asciiTheme="minorHAnsi" w:hAnsiTheme="minorHAnsi" w:cstheme="minorHAnsi"/>
                <w:spacing w:val="-6"/>
                <w:sz w:val="24"/>
                <w:szCs w:val="24"/>
              </w:rPr>
              <w:t xml:space="preserve"> </w:t>
            </w:r>
            <w:r w:rsidRPr="00474EFC">
              <w:rPr>
                <w:rFonts w:asciiTheme="minorHAnsi" w:hAnsiTheme="minorHAnsi" w:cstheme="minorHAnsi"/>
                <w:sz w:val="24"/>
                <w:szCs w:val="24"/>
              </w:rPr>
              <w:t>Francisco,</w:t>
            </w:r>
            <w:r w:rsidRPr="00474EFC">
              <w:rPr>
                <w:rFonts w:asciiTheme="minorHAnsi" w:hAnsiTheme="minorHAnsi" w:cstheme="minorHAnsi"/>
                <w:spacing w:val="-5"/>
                <w:sz w:val="24"/>
                <w:szCs w:val="24"/>
              </w:rPr>
              <w:t xml:space="preserve"> </w:t>
            </w:r>
            <w:r w:rsidRPr="00474EFC">
              <w:rPr>
                <w:rFonts w:asciiTheme="minorHAnsi" w:hAnsiTheme="minorHAnsi" w:cstheme="minorHAnsi"/>
                <w:sz w:val="24"/>
                <w:szCs w:val="24"/>
              </w:rPr>
              <w:t>CA</w:t>
            </w:r>
            <w:r w:rsidRPr="00474EFC">
              <w:rPr>
                <w:rFonts w:asciiTheme="minorHAnsi" w:hAnsiTheme="minorHAnsi" w:cstheme="minorHAnsi"/>
                <w:spacing w:val="-6"/>
                <w:sz w:val="24"/>
                <w:szCs w:val="24"/>
              </w:rPr>
              <w:t xml:space="preserve"> </w:t>
            </w:r>
            <w:r w:rsidRPr="00474EFC">
              <w:rPr>
                <w:rFonts w:asciiTheme="minorHAnsi" w:hAnsiTheme="minorHAnsi" w:cstheme="minorHAnsi"/>
                <w:sz w:val="24"/>
                <w:szCs w:val="24"/>
              </w:rPr>
              <w:t>94103</w:t>
            </w:r>
          </w:p>
          <w:p w14:paraId="5225B93E" w14:textId="77777777" w:rsidR="00541D96" w:rsidRPr="00474EFC" w:rsidRDefault="00541D96" w:rsidP="004A4106">
            <w:pPr>
              <w:pStyle w:val="TableParagraph"/>
              <w:ind w:right="6"/>
              <w:jc w:val="right"/>
              <w:rPr>
                <w:rFonts w:asciiTheme="minorHAnsi" w:hAnsiTheme="minorHAnsi" w:cstheme="minorHAnsi"/>
                <w:sz w:val="24"/>
                <w:szCs w:val="24"/>
              </w:rPr>
            </w:pPr>
            <w:r w:rsidRPr="00474EFC">
              <w:rPr>
                <w:rFonts w:asciiTheme="minorHAnsi" w:hAnsiTheme="minorHAnsi" w:cstheme="minorHAnsi"/>
                <w:sz w:val="24"/>
                <w:szCs w:val="24"/>
              </w:rPr>
              <w:t>(415) 255-3400</w:t>
            </w:r>
          </w:p>
          <w:p w14:paraId="0C405492" w14:textId="77777777" w:rsidR="00541D96" w:rsidRPr="00474EFC" w:rsidRDefault="00541D96" w:rsidP="004A4106">
            <w:pPr>
              <w:pStyle w:val="TableParagraph"/>
              <w:spacing w:before="1"/>
              <w:ind w:right="8"/>
              <w:jc w:val="right"/>
              <w:rPr>
                <w:rFonts w:asciiTheme="minorHAnsi" w:hAnsiTheme="minorHAnsi" w:cstheme="minorHAnsi"/>
                <w:sz w:val="24"/>
                <w:szCs w:val="24"/>
              </w:rPr>
            </w:pPr>
            <w:r w:rsidRPr="00474EFC">
              <w:rPr>
                <w:rFonts w:asciiTheme="minorHAnsi" w:hAnsiTheme="minorHAnsi" w:cstheme="minorHAnsi"/>
                <w:sz w:val="24"/>
                <w:szCs w:val="24"/>
              </w:rPr>
              <w:t>FAX</w:t>
            </w:r>
            <w:r w:rsidRPr="00474EFC">
              <w:rPr>
                <w:rFonts w:asciiTheme="minorHAnsi" w:hAnsiTheme="minorHAnsi" w:cstheme="minorHAnsi"/>
                <w:spacing w:val="-6"/>
                <w:sz w:val="24"/>
                <w:szCs w:val="24"/>
              </w:rPr>
              <w:t xml:space="preserve"> (</w:t>
            </w:r>
            <w:r w:rsidRPr="00474EFC">
              <w:rPr>
                <w:rFonts w:asciiTheme="minorHAnsi" w:hAnsiTheme="minorHAnsi" w:cstheme="minorHAnsi"/>
                <w:sz w:val="24"/>
                <w:szCs w:val="24"/>
              </w:rPr>
              <w:t>415) 255-3567</w:t>
            </w:r>
          </w:p>
        </w:tc>
      </w:tr>
      <w:tr w:rsidR="00541D96" w:rsidRPr="005F0116" w14:paraId="09D29571" w14:textId="77777777" w:rsidTr="004A4106">
        <w:trPr>
          <w:trHeight w:val="319"/>
        </w:trPr>
        <w:tc>
          <w:tcPr>
            <w:tcW w:w="10251" w:type="dxa"/>
            <w:gridSpan w:val="2"/>
            <w:tcBorders>
              <w:top w:val="double" w:sz="6" w:space="0" w:color="A1A1A1"/>
              <w:left w:val="double" w:sz="6" w:space="0" w:color="F0F0F0"/>
              <w:bottom w:val="double" w:sz="6" w:space="0" w:color="A1A1A1"/>
              <w:right w:val="double" w:sz="6" w:space="0" w:color="A1A1A1"/>
            </w:tcBorders>
          </w:tcPr>
          <w:p w14:paraId="621CE6E4" w14:textId="79672865" w:rsidR="00541D96" w:rsidRPr="00474EFC" w:rsidRDefault="00541D96" w:rsidP="004A4106">
            <w:pPr>
              <w:pStyle w:val="TableParagraph"/>
              <w:spacing w:before="15"/>
              <w:ind w:left="29"/>
              <w:rPr>
                <w:rFonts w:asciiTheme="minorHAnsi" w:hAnsiTheme="minorHAnsi" w:cstheme="minorHAnsi"/>
                <w:sz w:val="24"/>
                <w:szCs w:val="24"/>
              </w:rPr>
            </w:pPr>
            <w:r w:rsidRPr="00474EFC">
              <w:rPr>
                <w:rFonts w:asciiTheme="minorHAnsi" w:hAnsiTheme="minorHAnsi" w:cstheme="minorHAnsi"/>
                <w:sz w:val="24"/>
                <w:szCs w:val="24"/>
              </w:rPr>
              <w:t>Policy or Procedure</w:t>
            </w:r>
            <w:r w:rsidRPr="00474EFC">
              <w:rPr>
                <w:rFonts w:asciiTheme="minorHAnsi" w:hAnsiTheme="minorHAnsi" w:cstheme="minorHAnsi"/>
                <w:spacing w:val="-7"/>
                <w:sz w:val="24"/>
                <w:szCs w:val="24"/>
              </w:rPr>
              <w:t xml:space="preserve"> </w:t>
            </w:r>
            <w:r w:rsidRPr="00474EFC">
              <w:rPr>
                <w:rFonts w:asciiTheme="minorHAnsi" w:hAnsiTheme="minorHAnsi" w:cstheme="minorHAnsi"/>
                <w:sz w:val="24"/>
                <w:szCs w:val="24"/>
              </w:rPr>
              <w:t xml:space="preserve">Title: </w:t>
            </w:r>
          </w:p>
        </w:tc>
      </w:tr>
      <w:tr w:rsidR="00541D96" w:rsidRPr="005F0116" w14:paraId="13CE44A3" w14:textId="77777777" w:rsidTr="004A4106">
        <w:trPr>
          <w:trHeight w:val="1425"/>
        </w:trPr>
        <w:tc>
          <w:tcPr>
            <w:tcW w:w="6881" w:type="dxa"/>
            <w:tcBorders>
              <w:top w:val="double" w:sz="6" w:space="0" w:color="A1A1A1"/>
              <w:left w:val="double" w:sz="6" w:space="0" w:color="F0F0F0"/>
              <w:bottom w:val="double" w:sz="6" w:space="0" w:color="A1A1A1"/>
              <w:right w:val="double" w:sz="6" w:space="0" w:color="A1A1A1"/>
            </w:tcBorders>
          </w:tcPr>
          <w:p w14:paraId="6EBBD701" w14:textId="77777777" w:rsidR="00541D96" w:rsidRDefault="00541D96" w:rsidP="004A4106">
            <w:pPr>
              <w:pStyle w:val="TableParagraph"/>
              <w:ind w:left="29" w:right="60"/>
              <w:rPr>
                <w:rFonts w:asciiTheme="minorHAnsi" w:hAnsiTheme="minorHAnsi" w:cstheme="minorHAnsi"/>
                <w:sz w:val="24"/>
                <w:szCs w:val="24"/>
              </w:rPr>
            </w:pPr>
          </w:p>
          <w:p w14:paraId="37344217" w14:textId="141ECAC6" w:rsidR="00541D96" w:rsidRPr="005F0116" w:rsidRDefault="00541D96" w:rsidP="004A4106">
            <w:pPr>
              <w:pStyle w:val="TableParagraph"/>
              <w:ind w:left="29" w:right="60"/>
              <w:rPr>
                <w:rFonts w:asciiTheme="minorHAnsi" w:hAnsiTheme="minorHAnsi" w:cstheme="minorHAnsi"/>
                <w:sz w:val="24"/>
                <w:szCs w:val="24"/>
              </w:rPr>
            </w:pPr>
            <w:r w:rsidRPr="005F0116">
              <w:rPr>
                <w:rFonts w:asciiTheme="minorHAnsi" w:hAnsiTheme="minorHAnsi" w:cstheme="minorHAnsi"/>
                <w:sz w:val="24"/>
                <w:szCs w:val="24"/>
              </w:rPr>
              <w:t>Issued</w:t>
            </w:r>
            <w:r w:rsidRPr="005F0116">
              <w:rPr>
                <w:rFonts w:asciiTheme="minorHAnsi" w:hAnsiTheme="minorHAnsi" w:cstheme="minorHAnsi"/>
                <w:spacing w:val="14"/>
                <w:sz w:val="24"/>
                <w:szCs w:val="24"/>
              </w:rPr>
              <w:t xml:space="preserve"> </w:t>
            </w:r>
            <w:r w:rsidRPr="005F0116">
              <w:rPr>
                <w:rFonts w:asciiTheme="minorHAnsi" w:hAnsiTheme="minorHAnsi" w:cstheme="minorHAnsi"/>
                <w:sz w:val="24"/>
                <w:szCs w:val="24"/>
              </w:rPr>
              <w:t>By:</w:t>
            </w:r>
            <w:r w:rsidRPr="001D722E">
              <w:rPr>
                <w:rFonts w:asciiTheme="minorHAnsi" w:hAnsiTheme="minorHAnsi" w:cstheme="minorHAnsi"/>
                <w:sz w:val="24"/>
                <w:szCs w:val="24"/>
              </w:rPr>
              <w:t xml:space="preserve"> </w:t>
            </w:r>
          </w:p>
          <w:p w14:paraId="6AD84897" w14:textId="77777777" w:rsidR="00541D96" w:rsidRPr="005F0116" w:rsidRDefault="00541D96" w:rsidP="004A4106">
            <w:pPr>
              <w:pStyle w:val="TableParagraph"/>
              <w:rPr>
                <w:rFonts w:asciiTheme="minorHAnsi" w:hAnsiTheme="minorHAnsi" w:cstheme="minorHAnsi"/>
                <w:b/>
                <w:sz w:val="24"/>
                <w:szCs w:val="24"/>
              </w:rPr>
            </w:pPr>
          </w:p>
          <w:p w14:paraId="0665B9B4" w14:textId="53879305" w:rsidR="00541D96" w:rsidRPr="005F0116" w:rsidRDefault="00541D96" w:rsidP="004A4106">
            <w:pPr>
              <w:pStyle w:val="TableParagraph"/>
              <w:ind w:left="29"/>
              <w:rPr>
                <w:rFonts w:asciiTheme="minorHAnsi" w:hAnsiTheme="minorHAnsi" w:cstheme="minorHAnsi"/>
                <w:sz w:val="24"/>
                <w:szCs w:val="24"/>
              </w:rPr>
            </w:pPr>
            <w:r w:rsidRPr="005F0116">
              <w:rPr>
                <w:rFonts w:asciiTheme="minorHAnsi" w:hAnsiTheme="minorHAnsi" w:cstheme="minorHAnsi"/>
                <w:sz w:val="24"/>
                <w:szCs w:val="24"/>
              </w:rPr>
              <w:t xml:space="preserve">Date: </w:t>
            </w:r>
            <w:r>
              <w:rPr>
                <w:rFonts w:asciiTheme="minorHAnsi" w:hAnsiTheme="minorHAnsi" w:cstheme="minorHAnsi"/>
                <w:sz w:val="24"/>
                <w:szCs w:val="24"/>
              </w:rPr>
              <w:t>[pending]</w:t>
            </w:r>
          </w:p>
        </w:tc>
        <w:tc>
          <w:tcPr>
            <w:tcW w:w="3370" w:type="dxa"/>
            <w:tcBorders>
              <w:top w:val="double" w:sz="6" w:space="0" w:color="A1A1A1"/>
              <w:left w:val="double" w:sz="6" w:space="0" w:color="A1A1A1"/>
              <w:bottom w:val="double" w:sz="6" w:space="0" w:color="A1A1A1"/>
              <w:right w:val="double" w:sz="6" w:space="0" w:color="A1A1A1"/>
            </w:tcBorders>
          </w:tcPr>
          <w:p w14:paraId="0791D0C9" w14:textId="77777777" w:rsidR="00541D96" w:rsidRDefault="00541D96" w:rsidP="004A4106">
            <w:pPr>
              <w:pStyle w:val="TableParagraph"/>
              <w:ind w:left="33" w:right="646"/>
              <w:rPr>
                <w:rFonts w:asciiTheme="minorHAnsi" w:hAnsiTheme="minorHAnsi" w:cstheme="minorHAnsi"/>
                <w:color w:val="000000"/>
                <w:sz w:val="24"/>
                <w:szCs w:val="24"/>
                <w:shd w:val="clear" w:color="auto" w:fill="FFFFFF"/>
              </w:rPr>
            </w:pPr>
          </w:p>
          <w:p w14:paraId="000370D0" w14:textId="13200E5F" w:rsidR="00541D96" w:rsidRPr="005F0116" w:rsidRDefault="00541D96" w:rsidP="004A4106">
            <w:pPr>
              <w:pStyle w:val="TableParagraph"/>
              <w:ind w:left="33" w:right="646"/>
              <w:rPr>
                <w:rFonts w:asciiTheme="minorHAnsi" w:hAnsiTheme="minorHAnsi" w:cstheme="minorHAnsi"/>
                <w:color w:val="000000"/>
                <w:sz w:val="24"/>
                <w:szCs w:val="24"/>
                <w:shd w:val="clear" w:color="auto" w:fill="FFFFFF"/>
              </w:rPr>
            </w:pPr>
            <w:r w:rsidRPr="005F0116">
              <w:rPr>
                <w:rFonts w:asciiTheme="minorHAnsi" w:hAnsiTheme="minorHAnsi" w:cstheme="minorHAnsi"/>
                <w:color w:val="000000"/>
                <w:sz w:val="24"/>
                <w:szCs w:val="24"/>
                <w:shd w:val="clear" w:color="auto" w:fill="FFFFFF"/>
              </w:rPr>
              <w:t xml:space="preserve">Manual Number:  </w:t>
            </w:r>
          </w:p>
          <w:p w14:paraId="1F0B7B1C" w14:textId="77777777" w:rsidR="00541D96" w:rsidRPr="005F0116" w:rsidRDefault="00541D96" w:rsidP="004A4106">
            <w:pPr>
              <w:pStyle w:val="TableParagraph"/>
              <w:ind w:left="33" w:right="1640"/>
              <w:rPr>
                <w:rFonts w:asciiTheme="minorHAnsi" w:hAnsiTheme="minorHAnsi" w:cstheme="minorHAnsi"/>
                <w:color w:val="000000"/>
                <w:sz w:val="24"/>
                <w:szCs w:val="24"/>
                <w:shd w:val="clear" w:color="auto" w:fill="FFFFFF"/>
              </w:rPr>
            </w:pPr>
          </w:p>
          <w:p w14:paraId="167EA6B6" w14:textId="77777777" w:rsidR="00541D96" w:rsidRPr="005F0116" w:rsidRDefault="00541D96" w:rsidP="00541D96">
            <w:pPr>
              <w:pStyle w:val="TableParagraph"/>
              <w:spacing w:line="480" w:lineRule="auto"/>
              <w:ind w:left="33" w:right="0"/>
              <w:rPr>
                <w:rFonts w:asciiTheme="minorHAnsi" w:hAnsiTheme="minorHAnsi" w:cstheme="minorHAnsi"/>
                <w:sz w:val="24"/>
                <w:szCs w:val="24"/>
              </w:rPr>
            </w:pPr>
            <w:r w:rsidRPr="005F0116">
              <w:rPr>
                <w:rFonts w:asciiTheme="minorHAnsi" w:hAnsiTheme="minorHAnsi" w:cstheme="minorHAnsi"/>
                <w:sz w:val="24"/>
                <w:szCs w:val="24"/>
              </w:rPr>
              <w:t>References:</w:t>
            </w:r>
          </w:p>
        </w:tc>
      </w:tr>
    </w:tbl>
    <w:p w14:paraId="05420A10" w14:textId="77777777" w:rsidR="00541D96" w:rsidRDefault="00541D96">
      <w:pPr>
        <w:pStyle w:val="BodyText"/>
        <w:spacing w:before="1"/>
        <w:ind w:left="139" w:right="116"/>
        <w:rPr>
          <w:b/>
        </w:rPr>
      </w:pPr>
    </w:p>
    <w:p w14:paraId="6701DD57" w14:textId="4CD0E730" w:rsidR="00541D96" w:rsidRDefault="00541D96">
      <w:pPr>
        <w:pStyle w:val="BodyText"/>
        <w:spacing w:before="1"/>
        <w:ind w:left="139" w:right="116"/>
        <w:rPr>
          <w:b/>
        </w:rPr>
      </w:pPr>
      <w:r>
        <w:rPr>
          <w:b/>
        </w:rPr>
        <w:t>(New</w:t>
      </w:r>
      <w:r>
        <w:rPr>
          <w:b/>
          <w:spacing w:val="-4"/>
        </w:rPr>
        <w:t xml:space="preserve"> </w:t>
      </w:r>
      <w:r>
        <w:rPr>
          <w:b/>
        </w:rPr>
        <w:t>Policy;</w:t>
      </w:r>
      <w:r>
        <w:rPr>
          <w:b/>
          <w:spacing w:val="-9"/>
        </w:rPr>
        <w:t xml:space="preserve"> </w:t>
      </w:r>
      <w:r>
        <w:rPr>
          <w:b/>
        </w:rPr>
        <w:t>Technical/Substantive</w:t>
      </w:r>
      <w:r>
        <w:rPr>
          <w:b/>
          <w:spacing w:val="-7"/>
        </w:rPr>
        <w:t xml:space="preserve"> </w:t>
      </w:r>
      <w:r>
        <w:rPr>
          <w:b/>
        </w:rPr>
        <w:t>Revision.</w:t>
      </w:r>
      <w:r>
        <w:rPr>
          <w:b/>
          <w:spacing w:val="46"/>
        </w:rPr>
        <w:t xml:space="preserve"> </w:t>
      </w:r>
      <w:r>
        <w:rPr>
          <w:b/>
        </w:rPr>
        <w:t>Replaces</w:t>
      </w:r>
      <w:r>
        <w:rPr>
          <w:b/>
          <w:spacing w:val="-5"/>
        </w:rPr>
        <w:t xml:space="preserve"> </w:t>
      </w:r>
      <w:r>
        <w:rPr>
          <w:b/>
        </w:rPr>
        <w:t>[manual</w:t>
      </w:r>
      <w:r>
        <w:rPr>
          <w:b/>
          <w:spacing w:val="-5"/>
        </w:rPr>
        <w:t xml:space="preserve"> </w:t>
      </w:r>
      <w:r>
        <w:rPr>
          <w:b/>
        </w:rPr>
        <w:t>number]</w:t>
      </w:r>
      <w:r>
        <w:rPr>
          <w:b/>
          <w:spacing w:val="-8"/>
        </w:rPr>
        <w:t xml:space="preserve"> </w:t>
      </w:r>
      <w:r>
        <w:rPr>
          <w:b/>
        </w:rPr>
        <w:t>of</w:t>
      </w:r>
      <w:r>
        <w:rPr>
          <w:b/>
          <w:spacing w:val="-3"/>
        </w:rPr>
        <w:t xml:space="preserve"> </w:t>
      </w:r>
      <w:r>
        <w:rPr>
          <w:b/>
        </w:rPr>
        <w:t>[date].)</w:t>
      </w:r>
    </w:p>
    <w:p w14:paraId="327BA760" w14:textId="77777777" w:rsidR="00541D96" w:rsidRDefault="00541D96">
      <w:pPr>
        <w:pStyle w:val="BodyText"/>
        <w:spacing w:before="1"/>
        <w:ind w:left="139" w:right="116"/>
        <w:rPr>
          <w:b/>
        </w:rPr>
      </w:pPr>
    </w:p>
    <w:p w14:paraId="1A8703B0" w14:textId="01E36B04" w:rsidR="00F14BE7" w:rsidRPr="002875F1" w:rsidRDefault="001E1C96" w:rsidP="002875F1">
      <w:pPr>
        <w:pStyle w:val="BodyText"/>
        <w:spacing w:before="1"/>
        <w:ind w:left="139" w:right="116"/>
      </w:pPr>
      <w:r w:rsidRPr="002875F1">
        <w:rPr>
          <w:b/>
        </w:rPr>
        <w:t>Equity Statement</w:t>
      </w:r>
      <w:r w:rsidRPr="002875F1">
        <w:t>: The San Francisco Department of Public Health, Behavioral Health Services (BHS) is</w:t>
      </w:r>
      <w:r w:rsidRPr="002875F1">
        <w:rPr>
          <w:spacing w:val="1"/>
        </w:rPr>
        <w:t xml:space="preserve"> </w:t>
      </w:r>
      <w:r w:rsidRPr="002875F1">
        <w:t>committed to leading with race and prioritizing Intersectionality, including sex, gender identity, sexual</w:t>
      </w:r>
      <w:r w:rsidRPr="002875F1">
        <w:rPr>
          <w:spacing w:val="1"/>
        </w:rPr>
        <w:t xml:space="preserve"> </w:t>
      </w:r>
      <w:r w:rsidRPr="002875F1">
        <w:t>orientation, age, class, nationality, language, and ability. BHS strives to move forward on the continuum of</w:t>
      </w:r>
      <w:r w:rsidRPr="002875F1">
        <w:rPr>
          <w:spacing w:val="-52"/>
        </w:rPr>
        <w:t xml:space="preserve"> </w:t>
      </w:r>
      <w:r w:rsidRPr="002875F1">
        <w:t>becoming an anti-racist institution through dismantling racism, building solidarity among racial groups,</w:t>
      </w:r>
      <w:r w:rsidRPr="002875F1">
        <w:rPr>
          <w:spacing w:val="1"/>
        </w:rPr>
        <w:t xml:space="preserve"> </w:t>
      </w:r>
      <w:r w:rsidRPr="002875F1">
        <w:t>and</w:t>
      </w:r>
      <w:r w:rsidRPr="002875F1">
        <w:rPr>
          <w:spacing w:val="-1"/>
        </w:rPr>
        <w:t xml:space="preserve"> </w:t>
      </w:r>
      <w:r w:rsidRPr="002875F1">
        <w:t>working</w:t>
      </w:r>
      <w:r w:rsidRPr="002875F1">
        <w:rPr>
          <w:spacing w:val="-1"/>
        </w:rPr>
        <w:t xml:space="preserve"> </w:t>
      </w:r>
      <w:r w:rsidRPr="002875F1">
        <w:t>towards</w:t>
      </w:r>
      <w:r w:rsidRPr="002875F1">
        <w:rPr>
          <w:spacing w:val="1"/>
        </w:rPr>
        <w:t xml:space="preserve"> </w:t>
      </w:r>
      <w:r w:rsidRPr="002875F1">
        <w:t>becoming</w:t>
      </w:r>
      <w:r w:rsidRPr="002875F1">
        <w:rPr>
          <w:spacing w:val="1"/>
        </w:rPr>
        <w:t xml:space="preserve"> </w:t>
      </w:r>
      <w:r w:rsidRPr="002875F1">
        <w:t>a</w:t>
      </w:r>
      <w:r w:rsidRPr="002875F1">
        <w:rPr>
          <w:spacing w:val="-1"/>
        </w:rPr>
        <w:t xml:space="preserve"> </w:t>
      </w:r>
      <w:r w:rsidRPr="002875F1">
        <w:t>Trauma-Informed/Trauma</w:t>
      </w:r>
      <w:r w:rsidRPr="002875F1">
        <w:rPr>
          <w:spacing w:val="-1"/>
        </w:rPr>
        <w:t xml:space="preserve"> </w:t>
      </w:r>
      <w:r w:rsidRPr="002875F1">
        <w:t>Healing</w:t>
      </w:r>
      <w:r w:rsidRPr="002875F1">
        <w:rPr>
          <w:spacing w:val="-1"/>
        </w:rPr>
        <w:t xml:space="preserve"> </w:t>
      </w:r>
      <w:r w:rsidRPr="002875F1">
        <w:t>Organization in partnership</w:t>
      </w:r>
      <w:r w:rsidRPr="002875F1">
        <w:rPr>
          <w:spacing w:val="3"/>
        </w:rPr>
        <w:t xml:space="preserve"> </w:t>
      </w:r>
      <w:r w:rsidRPr="002875F1">
        <w:t>with</w:t>
      </w:r>
      <w:r w:rsidRPr="002875F1">
        <w:rPr>
          <w:spacing w:val="1"/>
        </w:rPr>
        <w:t xml:space="preserve"> </w:t>
      </w:r>
      <w:bookmarkStart w:id="0" w:name="C._COMMUNICATION_AND_DISTRIBUTION_OF_NEW"/>
      <w:bookmarkEnd w:id="0"/>
      <w:r w:rsidRPr="002875F1">
        <w:t xml:space="preserve">staff, clients, communities, and our contractors. </w:t>
      </w:r>
      <w:r w:rsidR="008A7DCD" w:rsidRPr="002875F1">
        <w:rPr>
          <w:rFonts w:eastAsia="Times New Roman"/>
          <w:color w:val="000000"/>
          <w:shd w:val="clear" w:color="auto" w:fill="FFFFFF"/>
        </w:rPr>
        <w:t>We are committed to ensuring that every policy or procedure, developed and implemented, leads with an equity and anti-racist lens. Our policies will provide the highest quality of care for our diverse clients. We are dedicated to ensuring that our providers are equipped to provide services that are responsive to our clients’ needs and lived experiences. </w:t>
      </w:r>
    </w:p>
    <w:p w14:paraId="48A5337B" w14:textId="77777777" w:rsidR="00F14BE7" w:rsidRDefault="00F14BE7">
      <w:pPr>
        <w:pStyle w:val="BodyText"/>
      </w:pPr>
    </w:p>
    <w:p w14:paraId="04B4C689" w14:textId="77777777" w:rsidR="00F14BE7" w:rsidRDefault="001E1C96">
      <w:pPr>
        <w:ind w:left="127"/>
        <w:rPr>
          <w:b/>
          <w:sz w:val="24"/>
        </w:rPr>
      </w:pPr>
      <w:bookmarkStart w:id="1" w:name="B._REVISING_EXISTING_POLICIES/PROCEDURES"/>
      <w:bookmarkEnd w:id="1"/>
      <w:r>
        <w:rPr>
          <w:b/>
          <w:sz w:val="24"/>
        </w:rPr>
        <w:t>Purpose:</w:t>
      </w:r>
    </w:p>
    <w:p w14:paraId="263128DF" w14:textId="77777777" w:rsidR="00F14BE7" w:rsidRDefault="00F14BE7">
      <w:pPr>
        <w:pStyle w:val="BodyText"/>
        <w:spacing w:before="2"/>
        <w:rPr>
          <w:b/>
        </w:rPr>
      </w:pPr>
    </w:p>
    <w:p w14:paraId="46F9C835" w14:textId="77777777" w:rsidR="00F14BE7" w:rsidRDefault="001E1C96">
      <w:pPr>
        <w:ind w:left="127"/>
        <w:rPr>
          <w:b/>
          <w:sz w:val="24"/>
        </w:rPr>
      </w:pPr>
      <w:r>
        <w:rPr>
          <w:b/>
          <w:sz w:val="24"/>
        </w:rPr>
        <w:t>Scope:</w:t>
      </w:r>
    </w:p>
    <w:p w14:paraId="778260E2" w14:textId="77777777" w:rsidR="00F14BE7" w:rsidRDefault="00F14BE7">
      <w:pPr>
        <w:pStyle w:val="BodyText"/>
        <w:rPr>
          <w:b/>
          <w:sz w:val="25"/>
        </w:rPr>
      </w:pPr>
    </w:p>
    <w:p w14:paraId="5FCBB0D1" w14:textId="77777777" w:rsidR="00F14BE7" w:rsidRDefault="001E1C96">
      <w:pPr>
        <w:ind w:left="127"/>
        <w:rPr>
          <w:b/>
          <w:sz w:val="24"/>
        </w:rPr>
      </w:pPr>
      <w:r>
        <w:rPr>
          <w:b/>
          <w:sz w:val="24"/>
        </w:rPr>
        <w:t>Policy:</w:t>
      </w:r>
    </w:p>
    <w:p w14:paraId="244B1F5D" w14:textId="77777777" w:rsidR="00F14BE7" w:rsidRDefault="00F14BE7">
      <w:pPr>
        <w:pStyle w:val="BodyText"/>
        <w:spacing w:before="12"/>
        <w:rPr>
          <w:b/>
          <w:sz w:val="23"/>
        </w:rPr>
      </w:pPr>
    </w:p>
    <w:p w14:paraId="70FEF9AA" w14:textId="77777777" w:rsidR="00F14BE7" w:rsidRDefault="001E1C96">
      <w:pPr>
        <w:ind w:left="127"/>
        <w:rPr>
          <w:sz w:val="24"/>
        </w:rPr>
      </w:pPr>
      <w:r>
        <w:rPr>
          <w:b/>
          <w:sz w:val="24"/>
        </w:rPr>
        <w:t>Procedure</w:t>
      </w:r>
      <w:r>
        <w:rPr>
          <w:b/>
          <w:spacing w:val="-3"/>
          <w:sz w:val="24"/>
        </w:rPr>
        <w:t xml:space="preserve"> </w:t>
      </w:r>
      <w:r>
        <w:rPr>
          <w:sz w:val="24"/>
        </w:rPr>
        <w:t>(optional):</w:t>
      </w:r>
    </w:p>
    <w:p w14:paraId="00BCE885" w14:textId="77777777" w:rsidR="00F14BE7" w:rsidRDefault="00F14BE7">
      <w:pPr>
        <w:pStyle w:val="BodyText"/>
        <w:spacing w:before="2"/>
      </w:pPr>
    </w:p>
    <w:p w14:paraId="6A30F03C" w14:textId="77777777" w:rsidR="00F14BE7" w:rsidRDefault="001E1C96">
      <w:pPr>
        <w:ind w:left="127"/>
        <w:rPr>
          <w:sz w:val="24"/>
        </w:rPr>
      </w:pPr>
      <w:r>
        <w:rPr>
          <w:b/>
          <w:sz w:val="24"/>
        </w:rPr>
        <w:t>Definitions</w:t>
      </w:r>
      <w:r>
        <w:rPr>
          <w:b/>
          <w:spacing w:val="-3"/>
          <w:sz w:val="24"/>
        </w:rPr>
        <w:t xml:space="preserve"> </w:t>
      </w:r>
      <w:r>
        <w:rPr>
          <w:sz w:val="24"/>
        </w:rPr>
        <w:t>(optional):</w:t>
      </w:r>
    </w:p>
    <w:p w14:paraId="727D174B" w14:textId="77777777" w:rsidR="00F14BE7" w:rsidRDefault="00F14BE7">
      <w:pPr>
        <w:pStyle w:val="BodyText"/>
        <w:spacing w:before="2"/>
      </w:pPr>
    </w:p>
    <w:p w14:paraId="43F39A52" w14:textId="77777777" w:rsidR="00F14BE7" w:rsidRDefault="001E1C96">
      <w:pPr>
        <w:ind w:left="106"/>
        <w:rPr>
          <w:sz w:val="24"/>
        </w:rPr>
      </w:pPr>
      <w:bookmarkStart w:id="2" w:name="A._DEVELOPING_NEW_BHS_POLICIES_AND_PROCE"/>
      <w:bookmarkEnd w:id="2"/>
      <w:r>
        <w:rPr>
          <w:b/>
          <w:sz w:val="24"/>
        </w:rPr>
        <w:t>Authority</w:t>
      </w:r>
      <w:r>
        <w:rPr>
          <w:b/>
          <w:spacing w:val="-7"/>
          <w:sz w:val="24"/>
        </w:rPr>
        <w:t xml:space="preserve"> </w:t>
      </w:r>
      <w:r>
        <w:rPr>
          <w:sz w:val="24"/>
        </w:rPr>
        <w:t>(optional):</w:t>
      </w:r>
    </w:p>
    <w:p w14:paraId="73742237" w14:textId="77777777" w:rsidR="00F14BE7" w:rsidRDefault="00F14BE7">
      <w:pPr>
        <w:pStyle w:val="BodyText"/>
        <w:spacing w:before="2"/>
      </w:pPr>
    </w:p>
    <w:p w14:paraId="49517D6F" w14:textId="77777777" w:rsidR="00F14BE7" w:rsidRDefault="001E1C96">
      <w:pPr>
        <w:ind w:left="106"/>
        <w:rPr>
          <w:b/>
          <w:sz w:val="24"/>
        </w:rPr>
      </w:pPr>
      <w:r>
        <w:rPr>
          <w:b/>
          <w:sz w:val="24"/>
        </w:rPr>
        <w:t>Contact</w:t>
      </w:r>
      <w:r>
        <w:rPr>
          <w:b/>
          <w:spacing w:val="-10"/>
          <w:sz w:val="24"/>
        </w:rPr>
        <w:t xml:space="preserve"> </w:t>
      </w:r>
      <w:r>
        <w:rPr>
          <w:b/>
          <w:sz w:val="24"/>
        </w:rPr>
        <w:t>Person:</w:t>
      </w:r>
    </w:p>
    <w:p w14:paraId="5645E310" w14:textId="77777777" w:rsidR="00F14BE7" w:rsidRDefault="00F14BE7">
      <w:pPr>
        <w:pStyle w:val="BodyText"/>
        <w:spacing w:before="12"/>
        <w:rPr>
          <w:b/>
          <w:sz w:val="23"/>
        </w:rPr>
      </w:pPr>
    </w:p>
    <w:p w14:paraId="5224D18D" w14:textId="77777777" w:rsidR="00F14BE7" w:rsidRDefault="001E1C96">
      <w:pPr>
        <w:ind w:left="140"/>
        <w:rPr>
          <w:b/>
          <w:sz w:val="24"/>
        </w:rPr>
      </w:pPr>
      <w:r>
        <w:rPr>
          <w:b/>
          <w:sz w:val="24"/>
        </w:rPr>
        <w:t>Attachment(s):</w:t>
      </w:r>
    </w:p>
    <w:p w14:paraId="6987E7E9" w14:textId="77777777" w:rsidR="00F14BE7" w:rsidRDefault="00F14BE7">
      <w:pPr>
        <w:pStyle w:val="BodyText"/>
        <w:spacing w:before="2"/>
        <w:rPr>
          <w:b/>
          <w:sz w:val="23"/>
        </w:rPr>
      </w:pPr>
    </w:p>
    <w:p w14:paraId="1DD8BFBF" w14:textId="77777777" w:rsidR="00F14BE7" w:rsidRDefault="001E1C96">
      <w:pPr>
        <w:spacing w:line="288" w:lineRule="exact"/>
        <w:ind w:left="127"/>
        <w:rPr>
          <w:b/>
          <w:sz w:val="24"/>
        </w:rPr>
      </w:pPr>
      <w:r>
        <w:rPr>
          <w:b/>
          <w:sz w:val="24"/>
        </w:rPr>
        <w:t>Distribution:</w:t>
      </w:r>
    </w:p>
    <w:p w14:paraId="73658505" w14:textId="0601F350" w:rsidR="00F14BE7" w:rsidRDefault="001E1C96" w:rsidP="00551549">
      <w:pPr>
        <w:pStyle w:val="BodyText"/>
        <w:spacing w:line="288" w:lineRule="exact"/>
        <w:ind w:left="127"/>
      </w:pPr>
      <w:r>
        <w:t>BHS</w:t>
      </w:r>
      <w:r>
        <w:rPr>
          <w:spacing w:val="-2"/>
        </w:rPr>
        <w:t xml:space="preserve"> </w:t>
      </w:r>
      <w:r>
        <w:t>Policies</w:t>
      </w:r>
      <w:r>
        <w:rPr>
          <w:spacing w:val="-2"/>
        </w:rPr>
        <w:t xml:space="preserve"> </w:t>
      </w:r>
      <w:r>
        <w:t>and</w:t>
      </w:r>
      <w:r>
        <w:rPr>
          <w:spacing w:val="-1"/>
        </w:rPr>
        <w:t xml:space="preserve"> </w:t>
      </w:r>
      <w:r>
        <w:t>Procedure</w:t>
      </w:r>
      <w:r>
        <w:rPr>
          <w:spacing w:val="-2"/>
        </w:rPr>
        <w:t xml:space="preserve"> </w:t>
      </w:r>
      <w:r>
        <w:t>are</w:t>
      </w:r>
      <w:r>
        <w:rPr>
          <w:spacing w:val="-3"/>
        </w:rPr>
        <w:t xml:space="preserve"> </w:t>
      </w:r>
      <w:r>
        <w:t>distributed</w:t>
      </w:r>
      <w:r>
        <w:rPr>
          <w:spacing w:val="-3"/>
        </w:rPr>
        <w:t xml:space="preserve"> </w:t>
      </w:r>
      <w:r>
        <w:t>by</w:t>
      </w:r>
      <w:r>
        <w:rPr>
          <w:spacing w:val="-5"/>
        </w:rPr>
        <w:t xml:space="preserve"> </w:t>
      </w:r>
      <w:r>
        <w:t>the</w:t>
      </w:r>
      <w:r>
        <w:rPr>
          <w:spacing w:val="-5"/>
        </w:rPr>
        <w:t xml:space="preserve"> </w:t>
      </w:r>
      <w:r>
        <w:t>DPH</w:t>
      </w:r>
      <w:r>
        <w:rPr>
          <w:spacing w:val="-1"/>
        </w:rPr>
        <w:t xml:space="preserve"> </w:t>
      </w:r>
      <w:r>
        <w:t>Quality</w:t>
      </w:r>
      <w:r>
        <w:rPr>
          <w:spacing w:val="-3"/>
        </w:rPr>
        <w:t xml:space="preserve"> </w:t>
      </w:r>
      <w:r>
        <w:t>Management</w:t>
      </w:r>
      <w:r>
        <w:rPr>
          <w:spacing w:val="-2"/>
        </w:rPr>
        <w:t xml:space="preserve"> </w:t>
      </w:r>
      <w:r>
        <w:t>Office</w:t>
      </w:r>
      <w:r>
        <w:rPr>
          <w:spacing w:val="-1"/>
        </w:rPr>
        <w:t xml:space="preserve"> </w:t>
      </w:r>
      <w:r>
        <w:t>of</w:t>
      </w:r>
      <w:r>
        <w:rPr>
          <w:spacing w:val="1"/>
        </w:rPr>
        <w:t xml:space="preserve"> </w:t>
      </w:r>
      <w:r>
        <w:t>Regulatory</w:t>
      </w:r>
      <w:r>
        <w:rPr>
          <w:spacing w:val="-1"/>
        </w:rPr>
        <w:t xml:space="preserve"> </w:t>
      </w:r>
      <w:r>
        <w:t>Affairs</w:t>
      </w:r>
    </w:p>
    <w:p w14:paraId="18AD0602" w14:textId="77777777" w:rsidR="00F14BE7" w:rsidRDefault="00F14BE7">
      <w:pPr>
        <w:pStyle w:val="BodyText"/>
        <w:spacing w:before="9"/>
      </w:pPr>
    </w:p>
    <w:p w14:paraId="40CC3180" w14:textId="77777777" w:rsidR="00F14BE7" w:rsidRDefault="001E1C96">
      <w:pPr>
        <w:pStyle w:val="BodyText"/>
        <w:ind w:left="128" w:right="7450"/>
      </w:pPr>
      <w:r>
        <w:t>Administrative</w:t>
      </w:r>
      <w:r>
        <w:rPr>
          <w:spacing w:val="-8"/>
        </w:rPr>
        <w:t xml:space="preserve"> </w:t>
      </w:r>
      <w:r>
        <w:t>Manual</w:t>
      </w:r>
      <w:r>
        <w:rPr>
          <w:spacing w:val="-5"/>
        </w:rPr>
        <w:t xml:space="preserve"> </w:t>
      </w:r>
      <w:r>
        <w:t>Holders</w:t>
      </w:r>
      <w:r>
        <w:rPr>
          <w:spacing w:val="-51"/>
        </w:rPr>
        <w:t xml:space="preserve"> </w:t>
      </w:r>
      <w:r>
        <w:lastRenderedPageBreak/>
        <w:t>BHS Programs</w:t>
      </w:r>
    </w:p>
    <w:p w14:paraId="7493CCDF" w14:textId="77777777" w:rsidR="00F14BE7" w:rsidRDefault="001E1C96">
      <w:pPr>
        <w:pStyle w:val="BodyText"/>
        <w:ind w:left="128" w:right="8009"/>
      </w:pPr>
      <w:r>
        <w:t>SOC Program Managers</w:t>
      </w:r>
      <w:r>
        <w:rPr>
          <w:spacing w:val="1"/>
        </w:rPr>
        <w:t xml:space="preserve"> </w:t>
      </w:r>
      <w:r>
        <w:t>BOCC Program Managers</w:t>
      </w:r>
      <w:r>
        <w:rPr>
          <w:spacing w:val="-52"/>
        </w:rPr>
        <w:t xml:space="preserve"> </w:t>
      </w:r>
      <w:r>
        <w:t>CDTA</w:t>
      </w:r>
      <w:r>
        <w:rPr>
          <w:spacing w:val="-6"/>
        </w:rPr>
        <w:t xml:space="preserve"> </w:t>
      </w:r>
      <w:r>
        <w:t>Program</w:t>
      </w:r>
      <w:r>
        <w:rPr>
          <w:spacing w:val="-6"/>
        </w:rPr>
        <w:t xml:space="preserve"> </w:t>
      </w:r>
      <w:r>
        <w:t>Managers</w:t>
      </w:r>
    </w:p>
    <w:sectPr w:rsidR="00F14BE7">
      <w:footerReference w:type="default" r:id="rId7"/>
      <w:pgSz w:w="12240" w:h="15840"/>
      <w:pgMar w:top="1320" w:right="740" w:bottom="1200" w:left="88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DADB" w14:textId="77777777" w:rsidR="00B2539C" w:rsidRDefault="00B2539C">
      <w:r>
        <w:separator/>
      </w:r>
    </w:p>
  </w:endnote>
  <w:endnote w:type="continuationSeparator" w:id="0">
    <w:p w14:paraId="0CB99B99" w14:textId="77777777" w:rsidR="00B2539C" w:rsidRDefault="00B2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EAC7" w14:textId="55FF3391" w:rsidR="00F14BE7" w:rsidRDefault="00541D9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4754BD4" wp14:editId="5ADFC7C2">
              <wp:simplePos x="0" y="0"/>
              <wp:positionH relativeFrom="page">
                <wp:posOffset>7143115</wp:posOffset>
              </wp:positionH>
              <wp:positionV relativeFrom="page">
                <wp:posOffset>9271635</wp:posOffset>
              </wp:positionV>
              <wp:extent cx="1593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E068" w14:textId="77777777" w:rsidR="00F14BE7" w:rsidRDefault="001E1C96">
                          <w:pPr>
                            <w:spacing w:before="11"/>
                            <w:ind w:left="60"/>
                            <w:rPr>
                              <w:rFonts w:ascii="Times New Roman"/>
                            </w:rPr>
                          </w:pPr>
                          <w:r>
                            <w:fldChar w:fldCharType="begin"/>
                          </w:r>
                          <w:r>
                            <w:rPr>
                              <w:rFonts w:ascii="Times New Roman"/>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4BD4" id="_x0000_t202" coordsize="21600,21600" o:spt="202" path="m,l,21600r21600,l21600,xe">
              <v:stroke joinstyle="miter"/>
              <v:path gradientshapeok="t" o:connecttype="rect"/>
            </v:shapetype>
            <v:shape id="Text Box 3" o:spid="_x0000_s1026" type="#_x0000_t202" style="position:absolute;margin-left:562.45pt;margin-top:730.05pt;width:12.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" filled="f" stroked="f">
              <v:textbox inset="0,0,0,0">
                <w:txbxContent>
                  <w:p w14:paraId="02EAE068" w14:textId="77777777" w:rsidR="00F14BE7" w:rsidRDefault="001E1C96">
                    <w:pPr>
                      <w:spacing w:before="11"/>
                      <w:ind w:left="60"/>
                      <w:rPr>
                        <w:rFonts w:ascii="Times New Roman"/>
                      </w:rPr>
                    </w:pPr>
                    <w:r>
                      <w:fldChar w:fldCharType="begin"/>
                    </w:r>
                    <w:r>
                      <w:rPr>
                        <w:rFonts w:ascii="Times New Roman"/>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1FC" w14:textId="77777777" w:rsidR="00B2539C" w:rsidRDefault="00B2539C">
      <w:r>
        <w:separator/>
      </w:r>
    </w:p>
  </w:footnote>
  <w:footnote w:type="continuationSeparator" w:id="0">
    <w:p w14:paraId="1EAB2EB4" w14:textId="77777777" w:rsidR="00B2539C" w:rsidRDefault="00B2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E7"/>
    <w:rsid w:val="00003C75"/>
    <w:rsid w:val="001273B1"/>
    <w:rsid w:val="001E1C96"/>
    <w:rsid w:val="002875F1"/>
    <w:rsid w:val="00541D96"/>
    <w:rsid w:val="00551549"/>
    <w:rsid w:val="00592DA3"/>
    <w:rsid w:val="008007B4"/>
    <w:rsid w:val="008A7DCD"/>
    <w:rsid w:val="00AC7BE9"/>
    <w:rsid w:val="00B05C7A"/>
    <w:rsid w:val="00B2539C"/>
    <w:rsid w:val="00DC41A8"/>
    <w:rsid w:val="00F1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4266"/>
  <w15:docId w15:val="{DB045D74-4FCC-470C-B778-366FD011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righ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CBHS Policies and Procedures</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CBHS Policies and Procedures</dc:title>
  <dc:creator>JStroh</dc:creator>
  <cp:lastModifiedBy>Westrick, Kim (DPH)</cp:lastModifiedBy>
  <cp:revision>2</cp:revision>
  <dcterms:created xsi:type="dcterms:W3CDTF">2022-04-12T21:48:00Z</dcterms:created>
  <dcterms:modified xsi:type="dcterms:W3CDTF">2022-04-12T21:48:00Z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21 for Word</vt:lpwstr>
  </property>
  <property fmtid="{D5CDD505-2E9C-101B-9397-08002B2CF9AE}" pid="4" name="LastSaved">
    <vt:filetime>2022-03-10T00:00:00Z</vt:filetime>
  </property>
</Properties>
</file>