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28CD" w14:textId="77777777" w:rsidR="009756FB" w:rsidRDefault="00673686">
      <w:r>
        <w:rPr>
          <w:noProof/>
        </w:rPr>
        <mc:AlternateContent>
          <mc:Choice Requires="wps">
            <w:drawing>
              <wp:anchor distT="0" distB="0" distL="114300" distR="114300" simplePos="0" relativeHeight="251659264" behindDoc="0" locked="0" layoutInCell="1" allowOverlap="1" wp14:anchorId="07ADCD85" wp14:editId="31B218FF">
                <wp:simplePos x="0" y="0"/>
                <wp:positionH relativeFrom="column">
                  <wp:posOffset>3488267</wp:posOffset>
                </wp:positionH>
                <wp:positionV relativeFrom="paragraph">
                  <wp:posOffset>16933</wp:posOffset>
                </wp:positionV>
                <wp:extent cx="3386243" cy="1896322"/>
                <wp:effectExtent l="0" t="0" r="0" b="0"/>
                <wp:wrapNone/>
                <wp:docPr id="2" name="Text Box 2"/>
                <wp:cNvGraphicFramePr/>
                <a:graphic xmlns:a="http://schemas.openxmlformats.org/drawingml/2006/main">
                  <a:graphicData uri="http://schemas.microsoft.com/office/word/2010/wordprocessingShape">
                    <wps:wsp>
                      <wps:cNvSpPr txBox="1"/>
                      <wps:spPr>
                        <a:xfrm>
                          <a:off x="0" y="0"/>
                          <a:ext cx="3386243" cy="1896322"/>
                        </a:xfrm>
                        <a:prstGeom prst="rect">
                          <a:avLst/>
                        </a:prstGeom>
                        <a:noFill/>
                        <a:ln w="6350">
                          <a:noFill/>
                        </a:ln>
                      </wps:spPr>
                      <wps:txbx>
                        <w:txbxContent>
                          <w:p w14:paraId="49F23C4F" w14:textId="77777777" w:rsidR="00673686" w:rsidRPr="009820A7" w:rsidRDefault="00673686" w:rsidP="00156D0E">
                            <w:pPr>
                              <w:jc w:val="right"/>
                              <w:rPr>
                                <w:rFonts w:ascii="Comic Sans MS" w:hAnsi="Comic Sans MS"/>
                                <w:b/>
                                <w:bCs/>
                                <w:color w:val="835B82" w:themeColor="accent5"/>
                                <w:sz w:val="32"/>
                                <w:szCs w:val="32"/>
                              </w:rPr>
                            </w:pPr>
                            <w:r w:rsidRPr="009820A7">
                              <w:rPr>
                                <w:rFonts w:ascii="Comic Sans MS" w:hAnsi="Comic Sans MS"/>
                                <w:b/>
                                <w:bCs/>
                                <w:color w:val="835B82" w:themeColor="accent5"/>
                                <w:sz w:val="32"/>
                                <w:szCs w:val="32"/>
                              </w:rPr>
                              <w:t>WHAT YOU NEED TO KNOW:</w:t>
                            </w:r>
                          </w:p>
                          <w:p w14:paraId="49099109" w14:textId="7A963634" w:rsidR="00673686" w:rsidRPr="001E6B09" w:rsidRDefault="006E733C" w:rsidP="00B537E6">
                            <w:pPr>
                              <w:jc w:val="center"/>
                              <w:rPr>
                                <w:rFonts w:ascii="Comic Sans MS" w:hAnsi="Comic Sans MS"/>
                                <w:b/>
                                <w:bCs/>
                                <w:color w:val="835B82" w:themeColor="accent5"/>
                                <w:sz w:val="44"/>
                                <w:szCs w:val="44"/>
                              </w:rPr>
                            </w:pPr>
                            <w:r>
                              <w:rPr>
                                <w:rFonts w:ascii="Comic Sans MS" w:hAnsi="Comic Sans MS"/>
                                <w:b/>
                                <w:bCs/>
                                <w:color w:val="835B82" w:themeColor="accent5"/>
                                <w:sz w:val="44"/>
                                <w:szCs w:val="44"/>
                              </w:rPr>
                              <w:t xml:space="preserve">Updates &amp; </w:t>
                            </w:r>
                            <w:r w:rsidR="001E6B09" w:rsidRPr="001E6B09">
                              <w:rPr>
                                <w:rFonts w:ascii="Comic Sans MS" w:hAnsi="Comic Sans MS"/>
                                <w:b/>
                                <w:bCs/>
                                <w:color w:val="835B82" w:themeColor="accent5"/>
                                <w:sz w:val="44"/>
                                <w:szCs w:val="44"/>
                              </w:rPr>
                              <w:t xml:space="preserve">Delay in </w:t>
                            </w:r>
                            <w:r>
                              <w:rPr>
                                <w:rFonts w:ascii="Comic Sans MS" w:hAnsi="Comic Sans MS"/>
                                <w:b/>
                                <w:bCs/>
                                <w:color w:val="835B82" w:themeColor="accent5"/>
                                <w:sz w:val="44"/>
                                <w:szCs w:val="44"/>
                              </w:rPr>
                              <w:t xml:space="preserve">BHS </w:t>
                            </w:r>
                            <w:r w:rsidR="001E6B09" w:rsidRPr="001E6B09">
                              <w:rPr>
                                <w:rFonts w:ascii="Comic Sans MS" w:hAnsi="Comic Sans MS"/>
                                <w:b/>
                                <w:bCs/>
                                <w:color w:val="835B82" w:themeColor="accent5"/>
                                <w:sz w:val="44"/>
                                <w:szCs w:val="44"/>
                              </w:rPr>
                              <w:t>Initial Payments for</w:t>
                            </w:r>
                          </w:p>
                          <w:p w14:paraId="0F0DD6AC" w14:textId="4047C46F" w:rsidR="00673686" w:rsidRPr="001E6B09" w:rsidRDefault="00673686" w:rsidP="00B537E6">
                            <w:pPr>
                              <w:jc w:val="center"/>
                              <w:rPr>
                                <w:rFonts w:ascii="Comic Sans MS" w:hAnsi="Comic Sans MS"/>
                                <w:b/>
                                <w:bCs/>
                                <w:color w:val="835B82" w:themeColor="accent5"/>
                                <w:sz w:val="44"/>
                                <w:szCs w:val="44"/>
                              </w:rPr>
                            </w:pPr>
                            <w:r w:rsidRPr="001E6B09">
                              <w:rPr>
                                <w:rFonts w:ascii="Comic Sans MS" w:hAnsi="Comic Sans MS"/>
                                <w:b/>
                                <w:bCs/>
                                <w:color w:val="835B82" w:themeColor="accent5"/>
                                <w:sz w:val="44"/>
                                <w:szCs w:val="44"/>
                              </w:rPr>
                              <w:t>FY 20-21</w:t>
                            </w:r>
                            <w:r w:rsidR="00F75567">
                              <w:rPr>
                                <w:rFonts w:ascii="Comic Sans MS" w:hAnsi="Comic Sans MS"/>
                                <w:b/>
                                <w:bCs/>
                                <w:color w:val="835B82" w:themeColor="accent5"/>
                                <w:sz w:val="44"/>
                                <w:szCs w:val="44"/>
                              </w:rPr>
                              <w:t xml:space="preserve"> -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DCD85" id="_x0000_t202" coordsize="21600,21600" o:spt="202" path="m,l,21600r21600,l21600,xe">
                <v:stroke joinstyle="miter"/>
                <v:path gradientshapeok="t" o:connecttype="rect"/>
              </v:shapetype>
              <v:shape id="Text Box 2" o:spid="_x0000_s1026" type="#_x0000_t202" style="position:absolute;margin-left:274.65pt;margin-top:1.35pt;width:266.65pt;height:1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" filled="f" stroked="f" strokeweight=".5pt">
                <v:textbox>
                  <w:txbxContent>
                    <w:p w14:paraId="49F23C4F" w14:textId="77777777" w:rsidR="00673686" w:rsidRPr="009820A7" w:rsidRDefault="00673686" w:rsidP="00156D0E">
                      <w:pPr>
                        <w:jc w:val="right"/>
                        <w:rPr>
                          <w:rFonts w:ascii="Comic Sans MS" w:hAnsi="Comic Sans MS"/>
                          <w:b/>
                          <w:bCs/>
                          <w:color w:val="835B82" w:themeColor="accent5"/>
                          <w:sz w:val="32"/>
                          <w:szCs w:val="32"/>
                        </w:rPr>
                      </w:pPr>
                      <w:r w:rsidRPr="009820A7">
                        <w:rPr>
                          <w:rFonts w:ascii="Comic Sans MS" w:hAnsi="Comic Sans MS"/>
                          <w:b/>
                          <w:bCs/>
                          <w:color w:val="835B82" w:themeColor="accent5"/>
                          <w:sz w:val="32"/>
                          <w:szCs w:val="32"/>
                        </w:rPr>
                        <w:t>WHAT YOU NEED TO KNOW:</w:t>
                      </w:r>
                    </w:p>
                    <w:p w14:paraId="49099109" w14:textId="7A963634" w:rsidR="00673686" w:rsidRPr="001E6B09" w:rsidRDefault="006E733C" w:rsidP="00B537E6">
                      <w:pPr>
                        <w:jc w:val="center"/>
                        <w:rPr>
                          <w:rFonts w:ascii="Comic Sans MS" w:hAnsi="Comic Sans MS"/>
                          <w:b/>
                          <w:bCs/>
                          <w:color w:val="835B82" w:themeColor="accent5"/>
                          <w:sz w:val="44"/>
                          <w:szCs w:val="44"/>
                        </w:rPr>
                      </w:pPr>
                      <w:r>
                        <w:rPr>
                          <w:rFonts w:ascii="Comic Sans MS" w:hAnsi="Comic Sans MS"/>
                          <w:b/>
                          <w:bCs/>
                          <w:color w:val="835B82" w:themeColor="accent5"/>
                          <w:sz w:val="44"/>
                          <w:szCs w:val="44"/>
                        </w:rPr>
                        <w:t xml:space="preserve">Updates &amp; </w:t>
                      </w:r>
                      <w:r w:rsidR="001E6B09" w:rsidRPr="001E6B09">
                        <w:rPr>
                          <w:rFonts w:ascii="Comic Sans MS" w:hAnsi="Comic Sans MS"/>
                          <w:b/>
                          <w:bCs/>
                          <w:color w:val="835B82" w:themeColor="accent5"/>
                          <w:sz w:val="44"/>
                          <w:szCs w:val="44"/>
                        </w:rPr>
                        <w:t xml:space="preserve">Delay in </w:t>
                      </w:r>
                      <w:r>
                        <w:rPr>
                          <w:rFonts w:ascii="Comic Sans MS" w:hAnsi="Comic Sans MS"/>
                          <w:b/>
                          <w:bCs/>
                          <w:color w:val="835B82" w:themeColor="accent5"/>
                          <w:sz w:val="44"/>
                          <w:szCs w:val="44"/>
                        </w:rPr>
                        <w:t xml:space="preserve">BHS </w:t>
                      </w:r>
                      <w:r w:rsidR="001E6B09" w:rsidRPr="001E6B09">
                        <w:rPr>
                          <w:rFonts w:ascii="Comic Sans MS" w:hAnsi="Comic Sans MS"/>
                          <w:b/>
                          <w:bCs/>
                          <w:color w:val="835B82" w:themeColor="accent5"/>
                          <w:sz w:val="44"/>
                          <w:szCs w:val="44"/>
                        </w:rPr>
                        <w:t>Initial Payments for</w:t>
                      </w:r>
                    </w:p>
                    <w:p w14:paraId="0F0DD6AC" w14:textId="4047C46F" w:rsidR="00673686" w:rsidRPr="001E6B09" w:rsidRDefault="00673686" w:rsidP="00B537E6">
                      <w:pPr>
                        <w:jc w:val="center"/>
                        <w:rPr>
                          <w:rFonts w:ascii="Comic Sans MS" w:hAnsi="Comic Sans MS"/>
                          <w:b/>
                          <w:bCs/>
                          <w:color w:val="835B82" w:themeColor="accent5"/>
                          <w:sz w:val="44"/>
                          <w:szCs w:val="44"/>
                        </w:rPr>
                      </w:pPr>
                      <w:r w:rsidRPr="001E6B09">
                        <w:rPr>
                          <w:rFonts w:ascii="Comic Sans MS" w:hAnsi="Comic Sans MS"/>
                          <w:b/>
                          <w:bCs/>
                          <w:color w:val="835B82" w:themeColor="accent5"/>
                          <w:sz w:val="44"/>
                          <w:szCs w:val="44"/>
                        </w:rPr>
                        <w:t>FY 20-21</w:t>
                      </w:r>
                      <w:r w:rsidR="00F75567">
                        <w:rPr>
                          <w:rFonts w:ascii="Comic Sans MS" w:hAnsi="Comic Sans MS"/>
                          <w:b/>
                          <w:bCs/>
                          <w:color w:val="835B82" w:themeColor="accent5"/>
                          <w:sz w:val="44"/>
                          <w:szCs w:val="44"/>
                        </w:rPr>
                        <w:t xml:space="preserve"> - Revised</w:t>
                      </w:r>
                    </w:p>
                  </w:txbxContent>
                </v:textbox>
              </v:shape>
            </w:pict>
          </mc:Fallback>
        </mc:AlternateContent>
      </w:r>
      <w:r w:rsidR="009820A7">
        <w:rPr>
          <w:noProof/>
        </w:rPr>
        <w:drawing>
          <wp:inline distT="0" distB="0" distL="0" distR="0" wp14:anchorId="1875B286" wp14:editId="764E87E2">
            <wp:extent cx="3408193" cy="1913467"/>
            <wp:effectExtent l="12700" t="12700" r="825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act Image 02.png"/>
                    <pic:cNvPicPr/>
                  </pic:nvPicPr>
                  <pic:blipFill>
                    <a:blip r:embed="rId8">
                      <a:extLst>
                        <a:ext uri="{28A0092B-C50C-407E-A947-70E740481C1C}">
                          <a14:useLocalDpi xmlns:a14="http://schemas.microsoft.com/office/drawing/2010/main" val="0"/>
                        </a:ext>
                      </a:extLst>
                    </a:blip>
                    <a:stretch>
                      <a:fillRect/>
                    </a:stretch>
                  </pic:blipFill>
                  <pic:spPr>
                    <a:xfrm>
                      <a:off x="0" y="0"/>
                      <a:ext cx="3464183" cy="1944901"/>
                    </a:xfrm>
                    <a:prstGeom prst="rect">
                      <a:avLst/>
                    </a:prstGeom>
                    <a:ln>
                      <a:solidFill>
                        <a:schemeClr val="accent6"/>
                      </a:solidFill>
                    </a:ln>
                  </pic:spPr>
                </pic:pic>
              </a:graphicData>
            </a:graphic>
          </wp:inline>
        </w:drawing>
      </w:r>
    </w:p>
    <w:p w14:paraId="0075458D" w14:textId="77777777" w:rsidR="00673686" w:rsidRDefault="00673686"/>
    <w:p w14:paraId="2DF9D61D" w14:textId="77777777" w:rsidR="00673686" w:rsidRDefault="00FD5FE9">
      <w:r>
        <w:rPr>
          <w:noProof/>
        </w:rPr>
        <w:pict w14:anchorId="3DBFD4B3">
          <v:rect id="_x0000_i1025" alt="" style="width:540pt;height:.05pt;mso-width-percent:0;mso-height-percent:0;mso-width-percent:0;mso-height-percent:0" o:hralign="center" o:hrstd="t" o:hr="t" fillcolor="#a0a0a0" stroked="f"/>
        </w:pict>
      </w:r>
    </w:p>
    <w:p w14:paraId="15302C08" w14:textId="77777777" w:rsidR="001E6B09" w:rsidRDefault="001E6B09">
      <w:pPr>
        <w:rPr>
          <w:sz w:val="28"/>
          <w:szCs w:val="28"/>
        </w:rPr>
      </w:pPr>
    </w:p>
    <w:p w14:paraId="0877E908" w14:textId="34FC7463" w:rsidR="00CF4D2E" w:rsidRDefault="00F75567" w:rsidP="001E6B09">
      <w:pPr>
        <w:rPr>
          <w:color w:val="214F5B" w:themeColor="accent1" w:themeShade="80"/>
          <w:sz w:val="28"/>
          <w:szCs w:val="28"/>
        </w:rPr>
      </w:pPr>
      <w:r>
        <w:rPr>
          <w:color w:val="214F5B" w:themeColor="accent1" w:themeShade="80"/>
          <w:sz w:val="28"/>
          <w:szCs w:val="28"/>
        </w:rPr>
        <w:t>August 10, 2020</w:t>
      </w:r>
    </w:p>
    <w:p w14:paraId="5409C21F" w14:textId="77777777" w:rsidR="00F75567" w:rsidRDefault="00F75567" w:rsidP="001E6B09">
      <w:pPr>
        <w:rPr>
          <w:color w:val="214F5B" w:themeColor="accent1" w:themeShade="80"/>
          <w:sz w:val="28"/>
          <w:szCs w:val="28"/>
        </w:rPr>
      </w:pPr>
    </w:p>
    <w:p w14:paraId="4F9B99E7" w14:textId="58475EC5" w:rsidR="001E6B09" w:rsidRPr="001E6B09" w:rsidRDefault="001E6B09" w:rsidP="001E6B09">
      <w:pPr>
        <w:rPr>
          <w:color w:val="214F5B" w:themeColor="accent1" w:themeShade="80"/>
          <w:sz w:val="28"/>
          <w:szCs w:val="28"/>
        </w:rPr>
      </w:pPr>
      <w:proofErr w:type="gramStart"/>
      <w:r w:rsidRPr="001E6B09">
        <w:rPr>
          <w:color w:val="214F5B" w:themeColor="accent1" w:themeShade="80"/>
          <w:sz w:val="28"/>
          <w:szCs w:val="28"/>
        </w:rPr>
        <w:t>Dear  Contractor</w:t>
      </w:r>
      <w:proofErr w:type="gramEnd"/>
      <w:r w:rsidRPr="001E6B09">
        <w:rPr>
          <w:color w:val="214F5B" w:themeColor="accent1" w:themeShade="80"/>
          <w:sz w:val="28"/>
          <w:szCs w:val="28"/>
        </w:rPr>
        <w:t>,</w:t>
      </w:r>
    </w:p>
    <w:p w14:paraId="1F6C0617" w14:textId="77777777" w:rsidR="001E6B09" w:rsidRPr="001E6B09" w:rsidRDefault="001E6B09" w:rsidP="001E6B09">
      <w:pPr>
        <w:rPr>
          <w:color w:val="214F5B" w:themeColor="accent1" w:themeShade="80"/>
          <w:sz w:val="28"/>
          <w:szCs w:val="28"/>
        </w:rPr>
      </w:pPr>
      <w:r w:rsidRPr="001E6B09">
        <w:rPr>
          <w:color w:val="214F5B" w:themeColor="accent1" w:themeShade="80"/>
          <w:sz w:val="28"/>
          <w:szCs w:val="28"/>
        </w:rPr>
        <w:t xml:space="preserve"> </w:t>
      </w:r>
    </w:p>
    <w:p w14:paraId="2BAD0B2B" w14:textId="77777777" w:rsidR="00F75567" w:rsidRDefault="00F75567" w:rsidP="001E6B09">
      <w:pPr>
        <w:rPr>
          <w:color w:val="214F5B" w:themeColor="accent1" w:themeShade="80"/>
          <w:sz w:val="28"/>
          <w:szCs w:val="28"/>
        </w:rPr>
      </w:pPr>
      <w:r>
        <w:rPr>
          <w:color w:val="214F5B" w:themeColor="accent1" w:themeShade="80"/>
          <w:sz w:val="28"/>
          <w:szCs w:val="28"/>
        </w:rPr>
        <w:t>Please note the following updates:</w:t>
      </w:r>
    </w:p>
    <w:p w14:paraId="0F22A3D6" w14:textId="4A7A4986" w:rsidR="00F75567" w:rsidRDefault="00F75567" w:rsidP="001E6B09">
      <w:pPr>
        <w:rPr>
          <w:color w:val="214F5B" w:themeColor="accent1" w:themeShade="80"/>
          <w:sz w:val="28"/>
          <w:szCs w:val="28"/>
        </w:rPr>
      </w:pPr>
    </w:p>
    <w:p w14:paraId="6E26066E" w14:textId="2DFC58E5" w:rsidR="00F75567" w:rsidRPr="00F24552" w:rsidRDefault="00F75567" w:rsidP="00F75567">
      <w:pPr>
        <w:rPr>
          <w:color w:val="214F5B" w:themeColor="accent1" w:themeShade="80"/>
          <w:sz w:val="28"/>
          <w:szCs w:val="28"/>
          <w:highlight w:val="yellow"/>
        </w:rPr>
      </w:pPr>
      <w:r>
        <w:rPr>
          <w:color w:val="214F5B" w:themeColor="accent1" w:themeShade="80"/>
          <w:sz w:val="28"/>
          <w:szCs w:val="28"/>
        </w:rPr>
        <w:t xml:space="preserve">1. </w:t>
      </w:r>
      <w:r w:rsidRPr="00F24552">
        <w:rPr>
          <w:color w:val="214F5B" w:themeColor="accent1" w:themeShade="80"/>
          <w:sz w:val="28"/>
          <w:szCs w:val="28"/>
          <w:highlight w:val="yellow"/>
        </w:rPr>
        <w:t xml:space="preserve">The </w:t>
      </w:r>
      <w:r w:rsidRPr="00F24552">
        <w:rPr>
          <w:b/>
          <w:color w:val="214F5B" w:themeColor="accent1" w:themeShade="80"/>
          <w:sz w:val="28"/>
          <w:szCs w:val="28"/>
          <w:highlight w:val="yellow"/>
          <w:u w:val="single"/>
        </w:rPr>
        <w:t>Continuity of Payment</w:t>
      </w:r>
      <w:r w:rsidRPr="00F24552">
        <w:rPr>
          <w:color w:val="214F5B" w:themeColor="accent1" w:themeShade="80"/>
          <w:sz w:val="28"/>
          <w:szCs w:val="28"/>
          <w:highlight w:val="yellow"/>
        </w:rPr>
        <w:t xml:space="preserve"> policy that was in effect in FY 19-20 will continue through September 30, 2020. After that, it will only be approved on a case-by-case basis at the level of the Mayor’s Office.  If you plan to continue to receive payment per this policy, please submit the attached form as it will be necessary to seek approval for FY 20-21. For details on the Controller’s Office policy, please see the link below:</w:t>
      </w:r>
    </w:p>
    <w:p w14:paraId="43D19483" w14:textId="77777777" w:rsidR="00F75567" w:rsidRPr="00F24552" w:rsidRDefault="00F75567" w:rsidP="00F75567">
      <w:pPr>
        <w:rPr>
          <w:color w:val="214F5B" w:themeColor="accent1" w:themeShade="80"/>
          <w:sz w:val="28"/>
          <w:szCs w:val="28"/>
          <w:highlight w:val="yellow"/>
        </w:rPr>
      </w:pPr>
    </w:p>
    <w:p w14:paraId="5A3B3B62" w14:textId="77777777" w:rsidR="00F75567" w:rsidRPr="00F24552" w:rsidRDefault="00F75567" w:rsidP="00F75567">
      <w:pPr>
        <w:rPr>
          <w:rStyle w:val="Hyperlink"/>
          <w:highlight w:val="yellow"/>
        </w:rPr>
      </w:pPr>
      <w:r w:rsidRPr="00F24552">
        <w:rPr>
          <w:rFonts w:ascii="Corbel" w:eastAsia="Corbel" w:hAnsi="Corbel" w:cs="Corbel"/>
          <w:sz w:val="28"/>
          <w:szCs w:val="28"/>
          <w:highlight w:val="yellow"/>
        </w:rPr>
        <w:fldChar w:fldCharType="begin"/>
      </w:r>
      <w:r w:rsidRPr="00F24552">
        <w:rPr>
          <w:rFonts w:ascii="Corbel" w:eastAsia="Corbel" w:hAnsi="Corbel" w:cs="Corbel"/>
          <w:sz w:val="28"/>
          <w:szCs w:val="28"/>
          <w:highlight w:val="yellow"/>
        </w:rPr>
        <w:instrText xml:space="preserve"> HYPERLINK "https://sfcontroller.org/expedited-contract-modification-policy-and-updated-continuity-payment-nonprofit-suppliers-policy" </w:instrText>
      </w:r>
      <w:r w:rsidRPr="00F24552">
        <w:rPr>
          <w:rFonts w:ascii="Corbel" w:eastAsia="Corbel" w:hAnsi="Corbel" w:cs="Corbel"/>
          <w:sz w:val="28"/>
          <w:szCs w:val="28"/>
          <w:highlight w:val="yellow"/>
        </w:rPr>
        <w:fldChar w:fldCharType="separate"/>
      </w:r>
      <w:r w:rsidRPr="00F24552">
        <w:rPr>
          <w:rStyle w:val="Hyperlink"/>
          <w:rFonts w:ascii="Corbel" w:eastAsia="Corbel" w:hAnsi="Corbel" w:cs="Corbel"/>
          <w:sz w:val="28"/>
          <w:szCs w:val="28"/>
          <w:highlight w:val="yellow"/>
        </w:rPr>
        <w:t>https://sfcontroller.org/expedited-contract-modification-policy-and-updated-continuity-payment-nonprofit-suppliers-policy</w:t>
      </w:r>
    </w:p>
    <w:p w14:paraId="2D61F79E" w14:textId="77777777" w:rsidR="00F75567" w:rsidRDefault="00F75567" w:rsidP="00F75567">
      <w:pPr>
        <w:rPr>
          <w:color w:val="214F5B" w:themeColor="accent1" w:themeShade="80"/>
          <w:sz w:val="28"/>
          <w:szCs w:val="28"/>
        </w:rPr>
      </w:pPr>
      <w:r w:rsidRPr="00F24552">
        <w:rPr>
          <w:rFonts w:ascii="Corbel" w:eastAsia="Corbel" w:hAnsi="Corbel" w:cs="Corbel"/>
          <w:sz w:val="28"/>
          <w:szCs w:val="28"/>
          <w:highlight w:val="yellow"/>
        </w:rPr>
        <w:fldChar w:fldCharType="end"/>
      </w:r>
    </w:p>
    <w:p w14:paraId="22653A26" w14:textId="4762B9C9" w:rsidR="00F75567" w:rsidRDefault="00F75567" w:rsidP="00F75567">
      <w:r w:rsidRPr="0AA7EB86">
        <w:rPr>
          <w:color w:val="214F5B" w:themeColor="accent1" w:themeShade="80"/>
          <w:sz w:val="28"/>
          <w:szCs w:val="28"/>
        </w:rPr>
        <w:t xml:space="preserve">2. </w:t>
      </w:r>
      <w:r w:rsidRPr="00F24552">
        <w:rPr>
          <w:color w:val="214F5B" w:themeColor="accent1" w:themeShade="80"/>
          <w:sz w:val="28"/>
          <w:szCs w:val="28"/>
          <w:highlight w:val="yellow"/>
        </w:rPr>
        <w:t xml:space="preserve">DPH Business Office Staff have comprised a Frequently Asked Questions (FAQ) document to clarify the use of the </w:t>
      </w:r>
      <w:r w:rsidRPr="00F24552">
        <w:rPr>
          <w:b/>
          <w:color w:val="214F5B" w:themeColor="accent1" w:themeShade="80"/>
          <w:sz w:val="28"/>
          <w:szCs w:val="28"/>
          <w:highlight w:val="yellow"/>
          <w:u w:val="single"/>
        </w:rPr>
        <w:t>Invoice Variance Policy and Procedures</w:t>
      </w:r>
      <w:r w:rsidRPr="0AA7EB86">
        <w:rPr>
          <w:color w:val="214F5B" w:themeColor="accent1" w:themeShade="80"/>
          <w:sz w:val="28"/>
          <w:szCs w:val="28"/>
        </w:rPr>
        <w:t xml:space="preserve">. Please see the attached document, </w:t>
      </w:r>
      <w:r w:rsidRPr="00F24552">
        <w:rPr>
          <w:color w:val="214F5B" w:themeColor="accent1" w:themeShade="80"/>
          <w:sz w:val="28"/>
          <w:szCs w:val="28"/>
          <w:highlight w:val="yellow"/>
        </w:rPr>
        <w:t xml:space="preserve">which will soon also be listed on the CDTA </w:t>
      </w:r>
      <w:proofErr w:type="gramStart"/>
      <w:r w:rsidRPr="00F24552">
        <w:rPr>
          <w:color w:val="214F5B" w:themeColor="accent1" w:themeShade="80"/>
          <w:sz w:val="28"/>
          <w:szCs w:val="28"/>
          <w:highlight w:val="yellow"/>
        </w:rPr>
        <w:t>website</w:t>
      </w:r>
      <w:r w:rsidR="00F24552">
        <w:rPr>
          <w:color w:val="214F5B" w:themeColor="accent1" w:themeShade="80"/>
          <w:sz w:val="28"/>
          <w:szCs w:val="28"/>
          <w:highlight w:val="yellow"/>
        </w:rPr>
        <w:t xml:space="preserve"> :</w:t>
      </w:r>
      <w:proofErr w:type="gramEnd"/>
      <w:r w:rsidR="00F24552">
        <w:rPr>
          <w:color w:val="214F5B" w:themeColor="accent1" w:themeShade="80"/>
          <w:sz w:val="28"/>
          <w:szCs w:val="28"/>
          <w:highlight w:val="yellow"/>
        </w:rPr>
        <w:t xml:space="preserve"> www.sfdph.org/cdta</w:t>
      </w:r>
      <w:r w:rsidRPr="0AA7EB86">
        <w:rPr>
          <w:color w:val="214F5B" w:themeColor="accent1" w:themeShade="80"/>
          <w:sz w:val="28"/>
          <w:szCs w:val="28"/>
        </w:rPr>
        <w:t>.</w:t>
      </w:r>
    </w:p>
    <w:p w14:paraId="50638041" w14:textId="40E74C6F" w:rsidR="00F75567" w:rsidRDefault="00F75567" w:rsidP="001E6B09">
      <w:pPr>
        <w:rPr>
          <w:color w:val="214F5B" w:themeColor="accent1" w:themeShade="80"/>
          <w:sz w:val="28"/>
          <w:szCs w:val="28"/>
        </w:rPr>
      </w:pPr>
    </w:p>
    <w:p w14:paraId="488D8FFE" w14:textId="77777777" w:rsidR="00F75567" w:rsidRDefault="00F75567" w:rsidP="00F75567">
      <w:r w:rsidRPr="0AA7EB86">
        <w:rPr>
          <w:rFonts w:ascii="Comic Sans MS" w:eastAsia="Comic Sans MS" w:hAnsi="Comic Sans MS" w:cs="Comic Sans MS"/>
          <w:b/>
          <w:bCs/>
          <w:color w:val="835B82" w:themeColor="accent5"/>
          <w:sz w:val="36"/>
          <w:szCs w:val="36"/>
        </w:rPr>
        <w:t xml:space="preserve">ADDITIONAL UPDATES:  </w:t>
      </w:r>
    </w:p>
    <w:p w14:paraId="046C1971" w14:textId="77777777" w:rsidR="00F75567" w:rsidRDefault="00F75567" w:rsidP="001E6B09">
      <w:pPr>
        <w:rPr>
          <w:color w:val="214F5B" w:themeColor="accent1" w:themeShade="80"/>
          <w:sz w:val="28"/>
          <w:szCs w:val="28"/>
        </w:rPr>
      </w:pPr>
    </w:p>
    <w:p w14:paraId="317BBDE1" w14:textId="15AA89EF" w:rsidR="00F75567" w:rsidRDefault="00F75567" w:rsidP="001E6B09">
      <w:pPr>
        <w:rPr>
          <w:b/>
          <w:color w:val="214F5B" w:themeColor="accent1" w:themeShade="80"/>
          <w:sz w:val="28"/>
          <w:szCs w:val="28"/>
          <w:u w:val="single"/>
        </w:rPr>
      </w:pPr>
      <w:r w:rsidRPr="00F75567">
        <w:rPr>
          <w:b/>
          <w:color w:val="214F5B" w:themeColor="accent1" w:themeShade="80"/>
          <w:sz w:val="28"/>
          <w:szCs w:val="28"/>
          <w:u w:val="single"/>
        </w:rPr>
        <w:t>Initial Payments</w:t>
      </w:r>
      <w:r>
        <w:rPr>
          <w:b/>
          <w:color w:val="214F5B" w:themeColor="accent1" w:themeShade="80"/>
          <w:sz w:val="28"/>
          <w:szCs w:val="28"/>
          <w:u w:val="single"/>
        </w:rPr>
        <w:t xml:space="preserve"> – Behavioral Health Services (BHS) Contracts only</w:t>
      </w:r>
    </w:p>
    <w:p w14:paraId="5882B018" w14:textId="77777777" w:rsidR="00F75567" w:rsidRPr="00F75567" w:rsidRDefault="00F75567" w:rsidP="001E6B09">
      <w:pPr>
        <w:rPr>
          <w:b/>
          <w:color w:val="214F5B" w:themeColor="accent1" w:themeShade="80"/>
          <w:sz w:val="28"/>
          <w:szCs w:val="28"/>
          <w:u w:val="single"/>
        </w:rPr>
      </w:pPr>
    </w:p>
    <w:p w14:paraId="0E326BA9" w14:textId="3EF3FE9E" w:rsidR="001E6B09" w:rsidRPr="001E6B09" w:rsidRDefault="0AA7EB86" w:rsidP="001E6B09">
      <w:pPr>
        <w:rPr>
          <w:color w:val="214F5B" w:themeColor="accent1" w:themeShade="80"/>
          <w:sz w:val="28"/>
          <w:szCs w:val="28"/>
        </w:rPr>
      </w:pPr>
      <w:r w:rsidRPr="00F24552">
        <w:rPr>
          <w:color w:val="214F5B" w:themeColor="accent1" w:themeShade="80"/>
          <w:sz w:val="28"/>
          <w:szCs w:val="28"/>
          <w:highlight w:val="yellow"/>
        </w:rPr>
        <w:t xml:space="preserve">Due to the overwhelming extra volume of demand on our system, we are experiencing a delay in processing the FY 20-21 initial payments (IP) for some contractors. While some of you have </w:t>
      </w:r>
      <w:r w:rsidRPr="00F24552">
        <w:rPr>
          <w:color w:val="214F5B" w:themeColor="accent1" w:themeShade="80"/>
          <w:sz w:val="28"/>
          <w:szCs w:val="28"/>
          <w:highlight w:val="yellow"/>
        </w:rPr>
        <w:lastRenderedPageBreak/>
        <w:t>received your IP, others of you are still waiting.  Many of you are also waiting for FY20-21 invoice templates. Please know that the Contracts Analyst staff have worked over-time last weekend to put a significant dent in the volume.</w:t>
      </w:r>
      <w:r w:rsidRPr="0AA7EB86">
        <w:rPr>
          <w:color w:val="214F5B" w:themeColor="accent1" w:themeShade="80"/>
          <w:sz w:val="28"/>
          <w:szCs w:val="28"/>
        </w:rPr>
        <w:t xml:space="preserve"> </w:t>
      </w:r>
    </w:p>
    <w:p w14:paraId="3F58FAED" w14:textId="77777777" w:rsidR="001E6B09" w:rsidRPr="001E6B09" w:rsidRDefault="001E6B09" w:rsidP="001E6B09">
      <w:pPr>
        <w:rPr>
          <w:color w:val="214F5B" w:themeColor="accent1" w:themeShade="80"/>
          <w:sz w:val="28"/>
          <w:szCs w:val="28"/>
        </w:rPr>
      </w:pPr>
      <w:r w:rsidRPr="001E6B09">
        <w:rPr>
          <w:color w:val="214F5B" w:themeColor="accent1" w:themeShade="80"/>
          <w:sz w:val="28"/>
          <w:szCs w:val="28"/>
        </w:rPr>
        <w:t xml:space="preserve"> </w:t>
      </w:r>
    </w:p>
    <w:p w14:paraId="539F2958" w14:textId="5DB463AC" w:rsidR="001E6B09" w:rsidRPr="001E6B09" w:rsidRDefault="0040542F" w:rsidP="001E6B09">
      <w:pPr>
        <w:rPr>
          <w:color w:val="214F5B" w:themeColor="accent1" w:themeShade="80"/>
          <w:sz w:val="28"/>
          <w:szCs w:val="28"/>
        </w:rPr>
      </w:pPr>
      <w:r>
        <w:rPr>
          <w:color w:val="214F5B" w:themeColor="accent1" w:themeShade="80"/>
          <w:sz w:val="28"/>
          <w:szCs w:val="28"/>
        </w:rPr>
        <w:t>Preparing and Processing Initial Payment Invoices and FY20-21 Invoices</w:t>
      </w:r>
      <w:r w:rsidR="001E6B09" w:rsidRPr="001E6B09">
        <w:rPr>
          <w:color w:val="214F5B" w:themeColor="accent1" w:themeShade="80"/>
          <w:sz w:val="28"/>
          <w:szCs w:val="28"/>
        </w:rPr>
        <w:t xml:space="preserve"> is a multi-step process:</w:t>
      </w:r>
    </w:p>
    <w:p w14:paraId="1C01E73E" w14:textId="77777777" w:rsidR="001E6B09" w:rsidRPr="001E6B09" w:rsidRDefault="001E6B09" w:rsidP="001E6B09">
      <w:pPr>
        <w:rPr>
          <w:color w:val="214F5B" w:themeColor="accent1" w:themeShade="80"/>
          <w:sz w:val="28"/>
          <w:szCs w:val="28"/>
        </w:rPr>
      </w:pPr>
      <w:r w:rsidRPr="001E6B09">
        <w:rPr>
          <w:color w:val="214F5B" w:themeColor="accent1" w:themeShade="80"/>
          <w:sz w:val="28"/>
          <w:szCs w:val="28"/>
        </w:rPr>
        <w:t xml:space="preserve"> </w:t>
      </w:r>
    </w:p>
    <w:p w14:paraId="1010F9F0" w14:textId="7DDD78E4" w:rsidR="001E6B09" w:rsidRPr="001E6B09" w:rsidRDefault="0AA7EB86" w:rsidP="001E6B09">
      <w:pPr>
        <w:pStyle w:val="ListParagraph"/>
        <w:numPr>
          <w:ilvl w:val="0"/>
          <w:numId w:val="2"/>
        </w:numPr>
        <w:rPr>
          <w:color w:val="214F5B" w:themeColor="accent1" w:themeShade="80"/>
          <w:sz w:val="28"/>
          <w:szCs w:val="28"/>
        </w:rPr>
      </w:pPr>
      <w:r w:rsidRPr="0AA7EB86">
        <w:rPr>
          <w:color w:val="214F5B" w:themeColor="accent1" w:themeShade="80"/>
          <w:sz w:val="28"/>
          <w:szCs w:val="28"/>
        </w:rPr>
        <w:t xml:space="preserve">Step 1. The Contract Analyst sets up an encumbrance </w:t>
      </w:r>
      <w:r w:rsidRPr="0AA7EB86">
        <w:rPr>
          <w:sz w:val="28"/>
          <w:szCs w:val="28"/>
        </w:rPr>
        <w:t>of</w:t>
      </w:r>
      <w:r w:rsidRPr="0AA7EB86">
        <w:rPr>
          <w:color w:val="214F5B" w:themeColor="accent1" w:themeShade="80"/>
          <w:sz w:val="28"/>
          <w:szCs w:val="28"/>
        </w:rPr>
        <w:t xml:space="preserve"> FY20-21 funding, which is the required step to make the funding in your contract available to reimburse monthly invoices and the initial payment. This encumbrance, if updated FY20-21 appendices are pending, is based on FY19-20 funding levels.  BHS often refers to this, by way of shorthand as an </w:t>
      </w:r>
      <w:r w:rsidRPr="0AA7EB86">
        <w:rPr>
          <w:i/>
          <w:iCs/>
          <w:color w:val="214F5B" w:themeColor="accent1" w:themeShade="80"/>
          <w:sz w:val="28"/>
          <w:szCs w:val="28"/>
        </w:rPr>
        <w:t>MYE</w:t>
      </w:r>
      <w:r w:rsidRPr="0AA7EB86">
        <w:rPr>
          <w:color w:val="214F5B" w:themeColor="accent1" w:themeShade="80"/>
          <w:sz w:val="28"/>
          <w:szCs w:val="28"/>
        </w:rPr>
        <w:t>, or Multi-Year Encumbrance.  So, if you hear that terminology used, it simply means an encumbrance for FY20-21 funding, based on FY19-20 funding levels.  No payments of any type can occur until this encumbrance process has been completed.</w:t>
      </w:r>
    </w:p>
    <w:p w14:paraId="76511971" w14:textId="77777777" w:rsidR="001E6B09" w:rsidRPr="001E6B09" w:rsidRDefault="001E6B09" w:rsidP="001E6B09">
      <w:pPr>
        <w:rPr>
          <w:color w:val="214F5B" w:themeColor="accent1" w:themeShade="80"/>
          <w:sz w:val="28"/>
          <w:szCs w:val="28"/>
        </w:rPr>
      </w:pPr>
      <w:r w:rsidRPr="001E6B09">
        <w:rPr>
          <w:color w:val="214F5B" w:themeColor="accent1" w:themeShade="80"/>
          <w:sz w:val="28"/>
          <w:szCs w:val="28"/>
        </w:rPr>
        <w:t xml:space="preserve"> </w:t>
      </w:r>
    </w:p>
    <w:p w14:paraId="46CC30B5" w14:textId="77777777" w:rsidR="00F75567" w:rsidRDefault="0AA7EB86" w:rsidP="00F75567">
      <w:pPr>
        <w:pStyle w:val="ListParagraph"/>
        <w:numPr>
          <w:ilvl w:val="0"/>
          <w:numId w:val="2"/>
        </w:numPr>
        <w:rPr>
          <w:color w:val="214F5B" w:themeColor="accent1" w:themeShade="80"/>
          <w:sz w:val="28"/>
          <w:szCs w:val="28"/>
        </w:rPr>
      </w:pPr>
      <w:r w:rsidRPr="0AA7EB86">
        <w:rPr>
          <w:color w:val="214F5B" w:themeColor="accent1" w:themeShade="80"/>
          <w:sz w:val="28"/>
          <w:szCs w:val="28"/>
        </w:rPr>
        <w:t>To issue the Initial Payment</w:t>
      </w:r>
      <w:r w:rsidRPr="0AA7EB86">
        <w:rPr>
          <w:color w:val="214F5B" w:themeColor="accent1" w:themeShade="80"/>
          <w:sz w:val="28"/>
          <w:szCs w:val="28"/>
          <w:u w:val="single"/>
        </w:rPr>
        <w:t>,</w:t>
      </w:r>
      <w:r w:rsidRPr="0AA7EB86">
        <w:rPr>
          <w:color w:val="214F5B" w:themeColor="accent1" w:themeShade="80"/>
          <w:sz w:val="28"/>
          <w:szCs w:val="28"/>
        </w:rPr>
        <w:t xml:space="preserve"> the Contract Analyst must prepare an Initial Payment Invoice, which will be:  (1) sent to you for signature, and then (2) sent to DPH’s Fiscal, Accounts Payable for approval and processing in FSP (the City’s payment system). This is followed by payment.</w:t>
      </w:r>
    </w:p>
    <w:p w14:paraId="2275591C" w14:textId="77777777" w:rsidR="00F75567" w:rsidRPr="00F75567" w:rsidRDefault="00F75567" w:rsidP="00F75567">
      <w:pPr>
        <w:pStyle w:val="ListParagraph"/>
        <w:rPr>
          <w:color w:val="214F5B" w:themeColor="accent1" w:themeShade="80"/>
          <w:sz w:val="28"/>
          <w:szCs w:val="28"/>
        </w:rPr>
      </w:pPr>
    </w:p>
    <w:p w14:paraId="05E288F7" w14:textId="7CE05FE8" w:rsidR="001E6B09" w:rsidRPr="00F75567" w:rsidRDefault="0040542F" w:rsidP="00F75567">
      <w:pPr>
        <w:pStyle w:val="ListParagraph"/>
        <w:ind w:left="360"/>
        <w:rPr>
          <w:color w:val="214F5B" w:themeColor="accent1" w:themeShade="80"/>
          <w:sz w:val="28"/>
          <w:szCs w:val="28"/>
        </w:rPr>
      </w:pPr>
      <w:r w:rsidRPr="00F75567">
        <w:rPr>
          <w:color w:val="214F5B" w:themeColor="accent1" w:themeShade="80"/>
          <w:sz w:val="28"/>
          <w:szCs w:val="28"/>
        </w:rPr>
        <w:t xml:space="preserve">3. </w:t>
      </w:r>
      <w:r w:rsidR="00B8730E" w:rsidRPr="00F75567">
        <w:rPr>
          <w:color w:val="214F5B" w:themeColor="accent1" w:themeShade="80"/>
          <w:sz w:val="28"/>
          <w:szCs w:val="28"/>
        </w:rPr>
        <w:t>After Step</w:t>
      </w:r>
      <w:r w:rsidR="001E6B09" w:rsidRPr="00F75567">
        <w:rPr>
          <w:color w:val="214F5B" w:themeColor="accent1" w:themeShade="80"/>
          <w:sz w:val="28"/>
          <w:szCs w:val="28"/>
        </w:rPr>
        <w:t xml:space="preserve"> 1 is </w:t>
      </w:r>
      <w:r w:rsidRPr="00F75567">
        <w:rPr>
          <w:color w:val="214F5B" w:themeColor="accent1" w:themeShade="80"/>
          <w:sz w:val="28"/>
          <w:szCs w:val="28"/>
        </w:rPr>
        <w:t>completed</w:t>
      </w:r>
      <w:r w:rsidR="001E6B09" w:rsidRPr="00F75567">
        <w:rPr>
          <w:color w:val="214F5B" w:themeColor="accent1" w:themeShade="80"/>
          <w:sz w:val="28"/>
          <w:szCs w:val="28"/>
        </w:rPr>
        <w:t>, the DPH Invoice Analyst will be</w:t>
      </w:r>
      <w:r w:rsidRPr="00F75567">
        <w:rPr>
          <w:color w:val="214F5B" w:themeColor="accent1" w:themeShade="80"/>
          <w:sz w:val="28"/>
          <w:szCs w:val="28"/>
        </w:rPr>
        <w:t>gin</w:t>
      </w:r>
      <w:r w:rsidR="001E6B09" w:rsidRPr="00F75567">
        <w:rPr>
          <w:color w:val="214F5B" w:themeColor="accent1" w:themeShade="80"/>
          <w:sz w:val="28"/>
          <w:szCs w:val="28"/>
        </w:rPr>
        <w:t xml:space="preserve"> the preparation of invoice templates for FY20-21.  If the encumbrance was an “MYE” encumbrance, then the invoice templates will be “MYE” invoice templates, reflecting FY19-20 funding.  These templates will be provided to you, and upon return each month, will be processed for payment</w:t>
      </w:r>
      <w:r w:rsidR="00B537E6" w:rsidRPr="00F75567">
        <w:rPr>
          <w:color w:val="214F5B" w:themeColor="accent1" w:themeShade="80"/>
          <w:sz w:val="28"/>
          <w:szCs w:val="28"/>
        </w:rPr>
        <w:t>,</w:t>
      </w:r>
      <w:r w:rsidR="001E6B09" w:rsidRPr="00F75567">
        <w:rPr>
          <w:color w:val="214F5B" w:themeColor="accent1" w:themeShade="80"/>
          <w:sz w:val="28"/>
          <w:szCs w:val="28"/>
        </w:rPr>
        <w:t xml:space="preserve"> (and later replaced with updated FY20-21 invoices).</w:t>
      </w:r>
    </w:p>
    <w:p w14:paraId="5EAD24C0" w14:textId="77777777" w:rsidR="001E6B09" w:rsidRPr="001E6B09" w:rsidRDefault="001E6B09" w:rsidP="001E6B09">
      <w:pPr>
        <w:rPr>
          <w:color w:val="214F5B" w:themeColor="accent1" w:themeShade="80"/>
          <w:sz w:val="28"/>
          <w:szCs w:val="28"/>
        </w:rPr>
      </w:pPr>
      <w:r w:rsidRPr="001E6B09">
        <w:rPr>
          <w:color w:val="214F5B" w:themeColor="accent1" w:themeShade="80"/>
          <w:sz w:val="28"/>
          <w:szCs w:val="28"/>
        </w:rPr>
        <w:t xml:space="preserve"> </w:t>
      </w:r>
    </w:p>
    <w:p w14:paraId="3367BC5B" w14:textId="4948CD1C" w:rsidR="001E6B09" w:rsidRPr="001E6B09" w:rsidRDefault="0AA7EB86" w:rsidP="001E6B09">
      <w:pPr>
        <w:rPr>
          <w:color w:val="214F5B" w:themeColor="accent1" w:themeShade="80"/>
          <w:sz w:val="28"/>
          <w:szCs w:val="28"/>
        </w:rPr>
      </w:pPr>
      <w:r w:rsidRPr="0AA7EB86">
        <w:rPr>
          <w:color w:val="214F5B" w:themeColor="accent1" w:themeShade="80"/>
          <w:sz w:val="28"/>
          <w:szCs w:val="28"/>
        </w:rPr>
        <w:t xml:space="preserve">While we are continuing with these steps, </w:t>
      </w:r>
      <w:r w:rsidRPr="00F24552">
        <w:rPr>
          <w:color w:val="214F5B" w:themeColor="accent1" w:themeShade="80"/>
          <w:sz w:val="28"/>
          <w:szCs w:val="28"/>
          <w:highlight w:val="yellow"/>
        </w:rPr>
        <w:t xml:space="preserve">the most significant task that you can do is to </w:t>
      </w:r>
      <w:r w:rsidRPr="00F24552">
        <w:rPr>
          <w:color w:val="214F5B" w:themeColor="accent1" w:themeShade="80"/>
          <w:sz w:val="28"/>
          <w:szCs w:val="28"/>
          <w:highlight w:val="yellow"/>
          <w:u w:val="single"/>
        </w:rPr>
        <w:t xml:space="preserve">make sure that your Certificate of Insurance is not set to expire </w:t>
      </w:r>
      <w:r w:rsidRPr="00F24552">
        <w:rPr>
          <w:color w:val="4A3C27" w:themeColor="accent6" w:themeShade="BF"/>
          <w:sz w:val="28"/>
          <w:szCs w:val="28"/>
          <w:highlight w:val="yellow"/>
          <w:u w:val="single"/>
        </w:rPr>
        <w:t>prior to October 1</w:t>
      </w:r>
      <w:r w:rsidRPr="00F24552">
        <w:rPr>
          <w:color w:val="214F5B" w:themeColor="accent1" w:themeShade="80"/>
          <w:sz w:val="28"/>
          <w:szCs w:val="28"/>
          <w:highlight w:val="yellow"/>
          <w:u w:val="single"/>
        </w:rPr>
        <w:t>, and that you have adequate coverage</w:t>
      </w:r>
      <w:r w:rsidRPr="00F24552">
        <w:rPr>
          <w:color w:val="214F5B" w:themeColor="accent1" w:themeShade="80"/>
          <w:sz w:val="28"/>
          <w:szCs w:val="28"/>
          <w:highlight w:val="yellow"/>
        </w:rPr>
        <w:t xml:space="preserve"> in excess of an annual MYE encumbrance or initial payment value.  </w:t>
      </w:r>
      <w:r w:rsidRPr="00F24552">
        <w:rPr>
          <w:color w:val="4A3C27" w:themeColor="accent6" w:themeShade="BF"/>
          <w:sz w:val="28"/>
          <w:szCs w:val="28"/>
          <w:highlight w:val="yellow"/>
        </w:rPr>
        <w:t>In the Article 5 - Insurance and Indemnity section of your contract, you may find the fidelity bond, employee dishonesty or similar coverage amounts indicated</w:t>
      </w:r>
      <w:r w:rsidRPr="00F24552">
        <w:rPr>
          <w:color w:val="214F5B" w:themeColor="accent1" w:themeShade="80"/>
          <w:sz w:val="28"/>
          <w:szCs w:val="28"/>
          <w:highlight w:val="yellow"/>
        </w:rPr>
        <w:t>.</w:t>
      </w:r>
      <w:r w:rsidRPr="0AA7EB86">
        <w:rPr>
          <w:color w:val="214F5B" w:themeColor="accent1" w:themeShade="80"/>
          <w:sz w:val="28"/>
          <w:szCs w:val="28"/>
        </w:rPr>
        <w:t xml:space="preserve"> Step 1 above cannot be completed without proof of active insurance and sufficient coverage levels, and without an encumbrance in place, no payments may be made</w:t>
      </w:r>
      <w:r w:rsidR="00FD5FE9">
        <w:rPr>
          <w:color w:val="214F5B" w:themeColor="accent1" w:themeShade="80"/>
          <w:sz w:val="28"/>
          <w:szCs w:val="28"/>
        </w:rPr>
        <w:t>:</w:t>
      </w:r>
      <w:r w:rsidRPr="0AA7EB86">
        <w:rPr>
          <w:color w:val="214F5B" w:themeColor="accent1" w:themeShade="80"/>
          <w:sz w:val="28"/>
          <w:szCs w:val="28"/>
        </w:rPr>
        <w:t xml:space="preserve"> either an initial payment, or a monthly invoice reimbursement.   </w:t>
      </w:r>
    </w:p>
    <w:p w14:paraId="2DB1CA66" w14:textId="77777777" w:rsidR="001E6B09" w:rsidRPr="001E6B09" w:rsidRDefault="001E6B09" w:rsidP="001E6B09">
      <w:pPr>
        <w:rPr>
          <w:color w:val="214F5B" w:themeColor="accent1" w:themeShade="80"/>
          <w:sz w:val="28"/>
          <w:szCs w:val="28"/>
        </w:rPr>
      </w:pPr>
      <w:r w:rsidRPr="001E6B09">
        <w:rPr>
          <w:color w:val="214F5B" w:themeColor="accent1" w:themeShade="80"/>
          <w:sz w:val="28"/>
          <w:szCs w:val="28"/>
        </w:rPr>
        <w:t xml:space="preserve"> </w:t>
      </w:r>
    </w:p>
    <w:p w14:paraId="7BACF4D4" w14:textId="3B26AE00" w:rsidR="001E6B09" w:rsidRPr="001E6B09" w:rsidRDefault="7B0D6755" w:rsidP="001E6B09">
      <w:pPr>
        <w:rPr>
          <w:color w:val="214F5B" w:themeColor="accent1" w:themeShade="80"/>
          <w:sz w:val="28"/>
          <w:szCs w:val="28"/>
        </w:rPr>
      </w:pPr>
      <w:r w:rsidRPr="7B0D6755">
        <w:rPr>
          <w:color w:val="214F5B" w:themeColor="accent1" w:themeShade="80"/>
          <w:sz w:val="28"/>
          <w:szCs w:val="28"/>
        </w:rPr>
        <w:lastRenderedPageBreak/>
        <w:t xml:space="preserve">We will provide an update on August </w:t>
      </w:r>
      <w:r w:rsidR="0040542F">
        <w:rPr>
          <w:color w:val="214F5B" w:themeColor="accent1" w:themeShade="80"/>
          <w:sz w:val="28"/>
          <w:szCs w:val="28"/>
        </w:rPr>
        <w:t>13</w:t>
      </w:r>
      <w:r w:rsidRPr="7B0D6755">
        <w:rPr>
          <w:color w:val="214F5B" w:themeColor="accent1" w:themeShade="80"/>
          <w:sz w:val="28"/>
          <w:szCs w:val="28"/>
        </w:rPr>
        <w:t>, 2020 as to our processing status and will determine next steps if we are still behind. We apologize for the delay and any inconvenience it may have caused you.  We are working hard to remedy this situation.</w:t>
      </w:r>
    </w:p>
    <w:p w14:paraId="3D9E2B4A" w14:textId="7B6F332F" w:rsidR="7B0D6755" w:rsidRDefault="7B0D6755" w:rsidP="7B0D6755">
      <w:pPr>
        <w:rPr>
          <w:color w:val="214F5B" w:themeColor="accent1" w:themeShade="80"/>
          <w:sz w:val="28"/>
          <w:szCs w:val="28"/>
        </w:rPr>
      </w:pPr>
    </w:p>
    <w:p w14:paraId="538DEC84" w14:textId="5A4F905B" w:rsidR="7B0D6755" w:rsidRDefault="7B0D6755" w:rsidP="7B0D6755">
      <w:pPr>
        <w:rPr>
          <w:color w:val="214F5B" w:themeColor="accent1" w:themeShade="80"/>
          <w:sz w:val="28"/>
          <w:szCs w:val="28"/>
        </w:rPr>
      </w:pPr>
    </w:p>
    <w:p w14:paraId="4044A45D" w14:textId="075F8C00" w:rsidR="7B0D6755" w:rsidRPr="00103991" w:rsidRDefault="7B0D6755" w:rsidP="7B0D6755">
      <w:pPr>
        <w:rPr>
          <w:color w:val="0070C0"/>
        </w:rPr>
      </w:pPr>
    </w:p>
    <w:sectPr w:rsidR="7B0D6755" w:rsidRPr="00103991" w:rsidSect="00C62204">
      <w:headerReference w:type="default" r:id="rId9"/>
      <w:footerReference w:type="even" r:id="rId10"/>
      <w:footerReference w:type="defaul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9DBE" w14:textId="77777777" w:rsidR="00C52915" w:rsidRDefault="00C52915" w:rsidP="00AF43B6">
      <w:r>
        <w:separator/>
      </w:r>
    </w:p>
  </w:endnote>
  <w:endnote w:type="continuationSeparator" w:id="0">
    <w:p w14:paraId="21724CB9" w14:textId="77777777" w:rsidR="00C52915" w:rsidRDefault="00C52915" w:rsidP="00AF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7365021"/>
      <w:docPartObj>
        <w:docPartGallery w:val="Page Numbers (Bottom of Page)"/>
        <w:docPartUnique/>
      </w:docPartObj>
    </w:sdtPr>
    <w:sdtEndPr>
      <w:rPr>
        <w:rStyle w:val="PageNumber"/>
      </w:rPr>
    </w:sdtEndPr>
    <w:sdtContent>
      <w:p w14:paraId="225BA243" w14:textId="77777777" w:rsidR="0008024E" w:rsidRDefault="0008024E" w:rsidP="003B2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C9B43" w14:textId="77777777" w:rsidR="00AF43B6" w:rsidRDefault="00AF43B6" w:rsidP="00080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624349032"/>
      <w:docPartObj>
        <w:docPartGallery w:val="Page Numbers (Bottom of Page)"/>
        <w:docPartUnique/>
      </w:docPartObj>
    </w:sdtPr>
    <w:sdtEndPr>
      <w:rPr>
        <w:rStyle w:val="PageNumber"/>
      </w:rPr>
    </w:sdtEndPr>
    <w:sdtContent>
      <w:p w14:paraId="31C313F1" w14:textId="77777777" w:rsidR="0008024E" w:rsidRPr="005423DC" w:rsidRDefault="0008024E" w:rsidP="005423DC">
        <w:pPr>
          <w:pStyle w:val="Footer"/>
          <w:framePr w:wrap="notBeside" w:vAnchor="text" w:hAnchor="margin" w:xAlign="right" w:y="1"/>
          <w:rPr>
            <w:rStyle w:val="PageNumber"/>
            <w:sz w:val="18"/>
            <w:szCs w:val="18"/>
          </w:rPr>
        </w:pPr>
        <w:r w:rsidRPr="005423DC">
          <w:rPr>
            <w:rStyle w:val="PageNumber"/>
            <w:sz w:val="18"/>
            <w:szCs w:val="18"/>
          </w:rPr>
          <w:fldChar w:fldCharType="begin"/>
        </w:r>
        <w:r w:rsidRPr="005423DC">
          <w:rPr>
            <w:rStyle w:val="PageNumber"/>
            <w:sz w:val="18"/>
            <w:szCs w:val="18"/>
          </w:rPr>
          <w:instrText xml:space="preserve"> PAGE </w:instrText>
        </w:r>
        <w:r w:rsidRPr="005423DC">
          <w:rPr>
            <w:rStyle w:val="PageNumber"/>
            <w:sz w:val="18"/>
            <w:szCs w:val="18"/>
          </w:rPr>
          <w:fldChar w:fldCharType="separate"/>
        </w:r>
        <w:r w:rsidRPr="005423DC">
          <w:rPr>
            <w:rStyle w:val="PageNumber"/>
            <w:noProof/>
            <w:sz w:val="18"/>
            <w:szCs w:val="18"/>
          </w:rPr>
          <w:t>2</w:t>
        </w:r>
        <w:r w:rsidRPr="005423DC">
          <w:rPr>
            <w:rStyle w:val="PageNumber"/>
            <w:sz w:val="18"/>
            <w:szCs w:val="18"/>
          </w:rPr>
          <w:fldChar w:fldCharType="end"/>
        </w:r>
      </w:p>
    </w:sdtContent>
  </w:sdt>
  <w:p w14:paraId="23E0E403" w14:textId="394242FE" w:rsidR="00AF43B6" w:rsidRPr="005423DC" w:rsidRDefault="005423DC" w:rsidP="0008024E">
    <w:pPr>
      <w:pStyle w:val="Footer"/>
      <w:ind w:right="360"/>
      <w:rPr>
        <w:sz w:val="22"/>
        <w:szCs w:val="22"/>
      </w:rPr>
    </w:pPr>
    <w:r w:rsidRPr="005423DC">
      <w:rPr>
        <w:color w:val="7030A0"/>
        <w:sz w:val="18"/>
        <w:szCs w:val="18"/>
      </w:rPr>
      <w:t>DPH Contract Comm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B8CD" w14:textId="77777777" w:rsidR="00C52915" w:rsidRDefault="00C52915" w:rsidP="00AF43B6">
      <w:r>
        <w:separator/>
      </w:r>
    </w:p>
  </w:footnote>
  <w:footnote w:type="continuationSeparator" w:id="0">
    <w:p w14:paraId="486431A4" w14:textId="77777777" w:rsidR="00C52915" w:rsidRDefault="00C52915" w:rsidP="00AF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F7B2" w14:textId="301CDF10" w:rsidR="00AF43B6" w:rsidRDefault="006E733C">
    <w:pPr>
      <w:pStyle w:val="Header"/>
      <w:rPr>
        <w:color w:val="7030A0"/>
        <w:sz w:val="18"/>
        <w:szCs w:val="18"/>
      </w:rPr>
    </w:pPr>
    <w:r>
      <w:rPr>
        <w:color w:val="7030A0"/>
        <w:sz w:val="18"/>
        <w:szCs w:val="18"/>
      </w:rPr>
      <w:t xml:space="preserve">CONTRACTOR COMM #2: </w:t>
    </w:r>
    <w:r w:rsidR="00F12200" w:rsidRPr="005423DC">
      <w:rPr>
        <w:color w:val="7030A0"/>
        <w:sz w:val="18"/>
        <w:szCs w:val="18"/>
      </w:rPr>
      <w:t>What You Need to Know</w:t>
    </w:r>
    <w:r>
      <w:rPr>
        <w:color w:val="7030A0"/>
        <w:sz w:val="18"/>
        <w:szCs w:val="18"/>
      </w:rPr>
      <w:t xml:space="preserve"> – Updates &amp;</w:t>
    </w:r>
    <w:r w:rsidR="00F12200" w:rsidRPr="005423DC">
      <w:rPr>
        <w:color w:val="7030A0"/>
        <w:sz w:val="18"/>
        <w:szCs w:val="18"/>
      </w:rPr>
      <w:t xml:space="preserve"> </w:t>
    </w:r>
    <w:r w:rsidR="001E6B09" w:rsidRPr="005423DC">
      <w:rPr>
        <w:color w:val="7030A0"/>
        <w:sz w:val="18"/>
        <w:szCs w:val="18"/>
      </w:rPr>
      <w:t>Delay in Initial Payments/Advances for FY 20-21</w:t>
    </w:r>
    <w:r w:rsidR="00F12200" w:rsidRPr="005423DC">
      <w:rPr>
        <w:color w:val="7030A0"/>
        <w:sz w:val="18"/>
        <w:szCs w:val="18"/>
      </w:rPr>
      <w:t xml:space="preserve"> cont.</w:t>
    </w:r>
    <w:r>
      <w:rPr>
        <w:color w:val="7030A0"/>
        <w:sz w:val="18"/>
        <w:szCs w:val="18"/>
      </w:rPr>
      <w:t xml:space="preserve"> </w:t>
    </w:r>
  </w:p>
  <w:p w14:paraId="23E37E4F" w14:textId="5F574069" w:rsidR="006E733C" w:rsidRDefault="006E733C">
    <w:pPr>
      <w:pStyle w:val="Header"/>
      <w:rPr>
        <w:color w:val="7030A0"/>
        <w:sz w:val="18"/>
        <w:szCs w:val="18"/>
      </w:rPr>
    </w:pPr>
    <w:r>
      <w:rPr>
        <w:color w:val="7030A0"/>
        <w:sz w:val="18"/>
        <w:szCs w:val="18"/>
      </w:rPr>
      <w:t>Revised: 8/13/20</w:t>
    </w:r>
  </w:p>
  <w:p w14:paraId="314EF228" w14:textId="77777777" w:rsidR="006E733C" w:rsidRPr="005423DC" w:rsidRDefault="006E733C">
    <w:pPr>
      <w:pStyle w:val="Header"/>
      <w:rPr>
        <w:color w:val="7030A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97EB1"/>
    <w:multiLevelType w:val="hybridMultilevel"/>
    <w:tmpl w:val="06B6B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943305"/>
    <w:multiLevelType w:val="hybridMultilevel"/>
    <w:tmpl w:val="E9CCFC56"/>
    <w:lvl w:ilvl="0" w:tplc="0C72DC0E">
      <w:start w:val="1"/>
      <w:numFmt w:val="decimal"/>
      <w:lvlText w:val="%1."/>
      <w:lvlJc w:val="left"/>
      <w:pPr>
        <w:ind w:left="720" w:hanging="360"/>
      </w:pPr>
    </w:lvl>
    <w:lvl w:ilvl="1" w:tplc="85AEC9C4">
      <w:start w:val="1"/>
      <w:numFmt w:val="lowerLetter"/>
      <w:lvlText w:val="%2."/>
      <w:lvlJc w:val="left"/>
      <w:pPr>
        <w:ind w:left="1440" w:hanging="360"/>
      </w:pPr>
    </w:lvl>
    <w:lvl w:ilvl="2" w:tplc="D81AE256">
      <w:start w:val="1"/>
      <w:numFmt w:val="lowerRoman"/>
      <w:lvlText w:val="%3."/>
      <w:lvlJc w:val="right"/>
      <w:pPr>
        <w:ind w:left="2160" w:hanging="180"/>
      </w:pPr>
    </w:lvl>
    <w:lvl w:ilvl="3" w:tplc="9A540268">
      <w:start w:val="1"/>
      <w:numFmt w:val="decimal"/>
      <w:lvlText w:val="%4."/>
      <w:lvlJc w:val="left"/>
      <w:pPr>
        <w:ind w:left="2880" w:hanging="360"/>
      </w:pPr>
    </w:lvl>
    <w:lvl w:ilvl="4" w:tplc="C0CA8E0E">
      <w:start w:val="1"/>
      <w:numFmt w:val="lowerLetter"/>
      <w:lvlText w:val="%5."/>
      <w:lvlJc w:val="left"/>
      <w:pPr>
        <w:ind w:left="3600" w:hanging="360"/>
      </w:pPr>
    </w:lvl>
    <w:lvl w:ilvl="5" w:tplc="15303174">
      <w:start w:val="1"/>
      <w:numFmt w:val="lowerRoman"/>
      <w:lvlText w:val="%6."/>
      <w:lvlJc w:val="right"/>
      <w:pPr>
        <w:ind w:left="4320" w:hanging="180"/>
      </w:pPr>
    </w:lvl>
    <w:lvl w:ilvl="6" w:tplc="9930720C">
      <w:start w:val="1"/>
      <w:numFmt w:val="decimal"/>
      <w:lvlText w:val="%7."/>
      <w:lvlJc w:val="left"/>
      <w:pPr>
        <w:ind w:left="5040" w:hanging="360"/>
      </w:pPr>
    </w:lvl>
    <w:lvl w:ilvl="7" w:tplc="BF0CAD24">
      <w:start w:val="1"/>
      <w:numFmt w:val="lowerLetter"/>
      <w:lvlText w:val="%8."/>
      <w:lvlJc w:val="left"/>
      <w:pPr>
        <w:ind w:left="5760" w:hanging="360"/>
      </w:pPr>
    </w:lvl>
    <w:lvl w:ilvl="8" w:tplc="E78A4CB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EA"/>
    <w:rsid w:val="000032D6"/>
    <w:rsid w:val="0008024E"/>
    <w:rsid w:val="000C0DEA"/>
    <w:rsid w:val="00103991"/>
    <w:rsid w:val="00137FB7"/>
    <w:rsid w:val="00156D0E"/>
    <w:rsid w:val="0016255A"/>
    <w:rsid w:val="001C3450"/>
    <w:rsid w:val="001E6B09"/>
    <w:rsid w:val="001F12E2"/>
    <w:rsid w:val="001F2603"/>
    <w:rsid w:val="00212B66"/>
    <w:rsid w:val="00271568"/>
    <w:rsid w:val="0029387E"/>
    <w:rsid w:val="002C472B"/>
    <w:rsid w:val="002E00A2"/>
    <w:rsid w:val="00372004"/>
    <w:rsid w:val="003E33A1"/>
    <w:rsid w:val="0040542F"/>
    <w:rsid w:val="00411532"/>
    <w:rsid w:val="00426C14"/>
    <w:rsid w:val="004271EC"/>
    <w:rsid w:val="0046746C"/>
    <w:rsid w:val="00477082"/>
    <w:rsid w:val="004905C2"/>
    <w:rsid w:val="00490608"/>
    <w:rsid w:val="004A2095"/>
    <w:rsid w:val="004F10D2"/>
    <w:rsid w:val="00510EBC"/>
    <w:rsid w:val="00520163"/>
    <w:rsid w:val="00531C74"/>
    <w:rsid w:val="005361B0"/>
    <w:rsid w:val="005423DC"/>
    <w:rsid w:val="005657C9"/>
    <w:rsid w:val="00574289"/>
    <w:rsid w:val="00576DB5"/>
    <w:rsid w:val="005A7608"/>
    <w:rsid w:val="005B6921"/>
    <w:rsid w:val="005C266A"/>
    <w:rsid w:val="005F03EF"/>
    <w:rsid w:val="0060790D"/>
    <w:rsid w:val="00611BEA"/>
    <w:rsid w:val="006712EC"/>
    <w:rsid w:val="00672F26"/>
    <w:rsid w:val="00673686"/>
    <w:rsid w:val="006D2E90"/>
    <w:rsid w:val="006E086F"/>
    <w:rsid w:val="006E724C"/>
    <w:rsid w:val="006E733C"/>
    <w:rsid w:val="006F0318"/>
    <w:rsid w:val="00741B5C"/>
    <w:rsid w:val="00742486"/>
    <w:rsid w:val="007676AC"/>
    <w:rsid w:val="00785852"/>
    <w:rsid w:val="007A7C8E"/>
    <w:rsid w:val="007D0FC5"/>
    <w:rsid w:val="00817354"/>
    <w:rsid w:val="00845F7D"/>
    <w:rsid w:val="00882C91"/>
    <w:rsid w:val="008C3B34"/>
    <w:rsid w:val="00935A37"/>
    <w:rsid w:val="009820A7"/>
    <w:rsid w:val="009A4320"/>
    <w:rsid w:val="009B033C"/>
    <w:rsid w:val="009D6505"/>
    <w:rsid w:val="009F0D33"/>
    <w:rsid w:val="00A110E8"/>
    <w:rsid w:val="00A20AED"/>
    <w:rsid w:val="00A22591"/>
    <w:rsid w:val="00A63850"/>
    <w:rsid w:val="00AA1775"/>
    <w:rsid w:val="00AA21E6"/>
    <w:rsid w:val="00AF43B6"/>
    <w:rsid w:val="00B27CB2"/>
    <w:rsid w:val="00B537E6"/>
    <w:rsid w:val="00B8730E"/>
    <w:rsid w:val="00B9326A"/>
    <w:rsid w:val="00BE1426"/>
    <w:rsid w:val="00C30E6B"/>
    <w:rsid w:val="00C52915"/>
    <w:rsid w:val="00C62204"/>
    <w:rsid w:val="00C64DDB"/>
    <w:rsid w:val="00CA17FB"/>
    <w:rsid w:val="00CC30DC"/>
    <w:rsid w:val="00CF4D2E"/>
    <w:rsid w:val="00D35997"/>
    <w:rsid w:val="00D61738"/>
    <w:rsid w:val="00D81E81"/>
    <w:rsid w:val="00D85692"/>
    <w:rsid w:val="00DB3252"/>
    <w:rsid w:val="00DD1C63"/>
    <w:rsid w:val="00DF1FC2"/>
    <w:rsid w:val="00E14A11"/>
    <w:rsid w:val="00EA6AB4"/>
    <w:rsid w:val="00ED7805"/>
    <w:rsid w:val="00F12200"/>
    <w:rsid w:val="00F24552"/>
    <w:rsid w:val="00F47628"/>
    <w:rsid w:val="00F75567"/>
    <w:rsid w:val="00F94970"/>
    <w:rsid w:val="00F97C2E"/>
    <w:rsid w:val="00FA56C9"/>
    <w:rsid w:val="00FD5FE9"/>
    <w:rsid w:val="00FF6ACB"/>
    <w:rsid w:val="0AA7EB86"/>
    <w:rsid w:val="7B0D6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04F30"/>
  <w15:chartTrackingRefBased/>
  <w15:docId w15:val="{6D497D0A-83DA-7E48-AD58-2F7E7442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56C9"/>
  </w:style>
  <w:style w:type="paragraph" w:styleId="Header">
    <w:name w:val="header"/>
    <w:basedOn w:val="Normal"/>
    <w:link w:val="HeaderChar"/>
    <w:uiPriority w:val="99"/>
    <w:unhideWhenUsed/>
    <w:rsid w:val="00AF43B6"/>
    <w:pPr>
      <w:tabs>
        <w:tab w:val="center" w:pos="4680"/>
        <w:tab w:val="right" w:pos="9360"/>
      </w:tabs>
    </w:pPr>
  </w:style>
  <w:style w:type="character" w:customStyle="1" w:styleId="HeaderChar">
    <w:name w:val="Header Char"/>
    <w:basedOn w:val="DefaultParagraphFont"/>
    <w:link w:val="Header"/>
    <w:uiPriority w:val="99"/>
    <w:rsid w:val="00AF43B6"/>
  </w:style>
  <w:style w:type="paragraph" w:styleId="Footer">
    <w:name w:val="footer"/>
    <w:basedOn w:val="Normal"/>
    <w:link w:val="FooterChar"/>
    <w:uiPriority w:val="99"/>
    <w:unhideWhenUsed/>
    <w:rsid w:val="00AF43B6"/>
    <w:pPr>
      <w:tabs>
        <w:tab w:val="center" w:pos="4680"/>
        <w:tab w:val="right" w:pos="9360"/>
      </w:tabs>
    </w:pPr>
  </w:style>
  <w:style w:type="character" w:customStyle="1" w:styleId="FooterChar">
    <w:name w:val="Footer Char"/>
    <w:basedOn w:val="DefaultParagraphFont"/>
    <w:link w:val="Footer"/>
    <w:uiPriority w:val="99"/>
    <w:rsid w:val="00AF43B6"/>
  </w:style>
  <w:style w:type="paragraph" w:styleId="NormalWeb">
    <w:name w:val="Normal (Web)"/>
    <w:basedOn w:val="Normal"/>
    <w:uiPriority w:val="99"/>
    <w:semiHidden/>
    <w:unhideWhenUsed/>
    <w:rsid w:val="005B6921"/>
    <w:pPr>
      <w:spacing w:before="100" w:beforeAutospacing="1" w:after="100" w:afterAutospacing="1"/>
    </w:pPr>
    <w:rPr>
      <w:rFonts w:ascii="Times New Roman" w:hAnsi="Times New Roman" w:cs="Times New Roman"/>
      <w:lang w:eastAsia="en-US"/>
    </w:rPr>
  </w:style>
  <w:style w:type="character" w:styleId="PageNumber">
    <w:name w:val="page number"/>
    <w:basedOn w:val="DefaultParagraphFont"/>
    <w:uiPriority w:val="99"/>
    <w:semiHidden/>
    <w:unhideWhenUsed/>
    <w:rsid w:val="0008024E"/>
  </w:style>
  <w:style w:type="character" w:styleId="Hyperlink">
    <w:name w:val="Hyperlink"/>
    <w:basedOn w:val="DefaultParagraphFont"/>
    <w:uiPriority w:val="99"/>
    <w:unhideWhenUsed/>
    <w:rsid w:val="005F03EF"/>
    <w:rPr>
      <w:color w:val="439EB7" w:themeColor="hyperlink"/>
      <w:u w:val="single"/>
    </w:rPr>
  </w:style>
  <w:style w:type="character" w:styleId="UnresolvedMention">
    <w:name w:val="Unresolved Mention"/>
    <w:basedOn w:val="DefaultParagraphFont"/>
    <w:uiPriority w:val="99"/>
    <w:semiHidden/>
    <w:unhideWhenUsed/>
    <w:rsid w:val="005F03EF"/>
    <w:rPr>
      <w:color w:val="605E5C"/>
      <w:shd w:val="clear" w:color="auto" w:fill="E1DFDD"/>
    </w:rPr>
  </w:style>
  <w:style w:type="paragraph" w:styleId="ListParagraph">
    <w:name w:val="List Paragraph"/>
    <w:basedOn w:val="Normal"/>
    <w:uiPriority w:val="34"/>
    <w:qFormat/>
    <w:rsid w:val="001E6B09"/>
    <w:pPr>
      <w:ind w:left="720"/>
      <w:contextualSpacing/>
    </w:pPr>
  </w:style>
  <w:style w:type="paragraph" w:styleId="BalloonText">
    <w:name w:val="Balloon Text"/>
    <w:basedOn w:val="Normal"/>
    <w:link w:val="BalloonTextChar"/>
    <w:uiPriority w:val="99"/>
    <w:semiHidden/>
    <w:unhideWhenUsed/>
    <w:rsid w:val="00405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2F"/>
    <w:rPr>
      <w:rFonts w:ascii="Segoe UI" w:hAnsi="Segoe UI" w:cs="Segoe UI"/>
      <w:sz w:val="18"/>
      <w:szCs w:val="18"/>
    </w:rPr>
  </w:style>
  <w:style w:type="paragraph" w:styleId="Revision">
    <w:name w:val="Revision"/>
    <w:hidden/>
    <w:uiPriority w:val="99"/>
    <w:semiHidden/>
    <w:rsid w:val="00B5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9634">
      <w:bodyDiv w:val="1"/>
      <w:marLeft w:val="0"/>
      <w:marRight w:val="0"/>
      <w:marTop w:val="0"/>
      <w:marBottom w:val="0"/>
      <w:divBdr>
        <w:top w:val="none" w:sz="0" w:space="0" w:color="auto"/>
        <w:left w:val="none" w:sz="0" w:space="0" w:color="auto"/>
        <w:bottom w:val="none" w:sz="0" w:space="0" w:color="auto"/>
        <w:right w:val="none" w:sz="0" w:space="0" w:color="auto"/>
      </w:divBdr>
    </w:div>
    <w:div w:id="98335057">
      <w:bodyDiv w:val="1"/>
      <w:marLeft w:val="0"/>
      <w:marRight w:val="0"/>
      <w:marTop w:val="0"/>
      <w:marBottom w:val="0"/>
      <w:divBdr>
        <w:top w:val="none" w:sz="0" w:space="0" w:color="auto"/>
        <w:left w:val="none" w:sz="0" w:space="0" w:color="auto"/>
        <w:bottom w:val="none" w:sz="0" w:space="0" w:color="auto"/>
        <w:right w:val="none" w:sz="0" w:space="0" w:color="auto"/>
      </w:divBdr>
    </w:div>
    <w:div w:id="384183572">
      <w:bodyDiv w:val="1"/>
      <w:marLeft w:val="0"/>
      <w:marRight w:val="0"/>
      <w:marTop w:val="0"/>
      <w:marBottom w:val="0"/>
      <w:divBdr>
        <w:top w:val="none" w:sz="0" w:space="0" w:color="auto"/>
        <w:left w:val="none" w:sz="0" w:space="0" w:color="auto"/>
        <w:bottom w:val="none" w:sz="0" w:space="0" w:color="auto"/>
        <w:right w:val="none" w:sz="0" w:space="0" w:color="auto"/>
      </w:divBdr>
    </w:div>
    <w:div w:id="393546075">
      <w:bodyDiv w:val="1"/>
      <w:marLeft w:val="0"/>
      <w:marRight w:val="0"/>
      <w:marTop w:val="0"/>
      <w:marBottom w:val="0"/>
      <w:divBdr>
        <w:top w:val="none" w:sz="0" w:space="0" w:color="auto"/>
        <w:left w:val="none" w:sz="0" w:space="0" w:color="auto"/>
        <w:bottom w:val="none" w:sz="0" w:space="0" w:color="auto"/>
        <w:right w:val="none" w:sz="0" w:space="0" w:color="auto"/>
      </w:divBdr>
    </w:div>
    <w:div w:id="492067648">
      <w:bodyDiv w:val="1"/>
      <w:marLeft w:val="0"/>
      <w:marRight w:val="0"/>
      <w:marTop w:val="0"/>
      <w:marBottom w:val="0"/>
      <w:divBdr>
        <w:top w:val="none" w:sz="0" w:space="0" w:color="auto"/>
        <w:left w:val="none" w:sz="0" w:space="0" w:color="auto"/>
        <w:bottom w:val="none" w:sz="0" w:space="0" w:color="auto"/>
        <w:right w:val="none" w:sz="0" w:space="0" w:color="auto"/>
      </w:divBdr>
    </w:div>
    <w:div w:id="559561291">
      <w:bodyDiv w:val="1"/>
      <w:marLeft w:val="0"/>
      <w:marRight w:val="0"/>
      <w:marTop w:val="0"/>
      <w:marBottom w:val="0"/>
      <w:divBdr>
        <w:top w:val="none" w:sz="0" w:space="0" w:color="auto"/>
        <w:left w:val="none" w:sz="0" w:space="0" w:color="auto"/>
        <w:bottom w:val="none" w:sz="0" w:space="0" w:color="auto"/>
        <w:right w:val="none" w:sz="0" w:space="0" w:color="auto"/>
      </w:divBdr>
    </w:div>
    <w:div w:id="945038429">
      <w:bodyDiv w:val="1"/>
      <w:marLeft w:val="0"/>
      <w:marRight w:val="0"/>
      <w:marTop w:val="0"/>
      <w:marBottom w:val="0"/>
      <w:divBdr>
        <w:top w:val="none" w:sz="0" w:space="0" w:color="auto"/>
        <w:left w:val="none" w:sz="0" w:space="0" w:color="auto"/>
        <w:bottom w:val="none" w:sz="0" w:space="0" w:color="auto"/>
        <w:right w:val="none" w:sz="0" w:space="0" w:color="auto"/>
      </w:divBdr>
    </w:div>
    <w:div w:id="1174147301">
      <w:bodyDiv w:val="1"/>
      <w:marLeft w:val="0"/>
      <w:marRight w:val="0"/>
      <w:marTop w:val="0"/>
      <w:marBottom w:val="0"/>
      <w:divBdr>
        <w:top w:val="none" w:sz="0" w:space="0" w:color="auto"/>
        <w:left w:val="none" w:sz="0" w:space="0" w:color="auto"/>
        <w:bottom w:val="none" w:sz="0" w:space="0" w:color="auto"/>
        <w:right w:val="none" w:sz="0" w:space="0" w:color="auto"/>
      </w:divBdr>
    </w:div>
    <w:div w:id="1256942864">
      <w:bodyDiv w:val="1"/>
      <w:marLeft w:val="0"/>
      <w:marRight w:val="0"/>
      <w:marTop w:val="0"/>
      <w:marBottom w:val="0"/>
      <w:divBdr>
        <w:top w:val="none" w:sz="0" w:space="0" w:color="auto"/>
        <w:left w:val="none" w:sz="0" w:space="0" w:color="auto"/>
        <w:bottom w:val="none" w:sz="0" w:space="0" w:color="auto"/>
        <w:right w:val="none" w:sz="0" w:space="0" w:color="auto"/>
      </w:divBdr>
    </w:div>
    <w:div w:id="1564173499">
      <w:bodyDiv w:val="1"/>
      <w:marLeft w:val="0"/>
      <w:marRight w:val="0"/>
      <w:marTop w:val="0"/>
      <w:marBottom w:val="0"/>
      <w:divBdr>
        <w:top w:val="none" w:sz="0" w:space="0" w:color="auto"/>
        <w:left w:val="none" w:sz="0" w:space="0" w:color="auto"/>
        <w:bottom w:val="none" w:sz="0" w:space="0" w:color="auto"/>
        <w:right w:val="none" w:sz="0" w:space="0" w:color="auto"/>
      </w:divBdr>
    </w:div>
    <w:div w:id="1600287156">
      <w:bodyDiv w:val="1"/>
      <w:marLeft w:val="0"/>
      <w:marRight w:val="0"/>
      <w:marTop w:val="0"/>
      <w:marBottom w:val="0"/>
      <w:divBdr>
        <w:top w:val="none" w:sz="0" w:space="0" w:color="auto"/>
        <w:left w:val="none" w:sz="0" w:space="0" w:color="auto"/>
        <w:bottom w:val="none" w:sz="0" w:space="0" w:color="auto"/>
        <w:right w:val="none" w:sz="0" w:space="0" w:color="auto"/>
      </w:divBdr>
    </w:div>
    <w:div w:id="1941596214">
      <w:bodyDiv w:val="1"/>
      <w:marLeft w:val="0"/>
      <w:marRight w:val="0"/>
      <w:marTop w:val="0"/>
      <w:marBottom w:val="0"/>
      <w:divBdr>
        <w:top w:val="none" w:sz="0" w:space="0" w:color="auto"/>
        <w:left w:val="none" w:sz="0" w:space="0" w:color="auto"/>
        <w:bottom w:val="none" w:sz="0" w:space="0" w:color="auto"/>
        <w:right w:val="none" w:sz="0" w:space="0" w:color="auto"/>
      </w:divBdr>
    </w:div>
    <w:div w:id="1969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FFD0-EC3D-BD43-97A4-F881E294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Richelle-Lynn Mojica</dc:creator>
  <cp:keywords/>
  <dc:description/>
  <cp:lastModifiedBy>Margaret Elam</cp:lastModifiedBy>
  <cp:revision>2</cp:revision>
  <dcterms:created xsi:type="dcterms:W3CDTF">2020-08-18T16:28:00Z</dcterms:created>
  <dcterms:modified xsi:type="dcterms:W3CDTF">2020-08-18T16:28:00Z</dcterms:modified>
</cp:coreProperties>
</file>