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DD73" w14:textId="1C8AD882" w:rsidR="00B21DAC" w:rsidRDefault="00D05CE9" w:rsidP="00D05CE9">
      <w:pPr>
        <w:pStyle w:val="Header"/>
      </w:pPr>
      <w:r>
        <w:t xml:space="preserve">FY 20-21 Performance Objectives for Fiscal Intermediary/Program Administration: </w:t>
      </w:r>
      <w:r w:rsidR="008E553A">
        <w:t>Check Writing</w:t>
      </w:r>
      <w:r w:rsidR="00B10F10">
        <w:t>/</w:t>
      </w:r>
      <w:r w:rsidR="00B628AA">
        <w:t>A</w:t>
      </w:r>
      <w:r w:rsidR="00EF4C17">
        <w:t xml:space="preserve">ccounts </w:t>
      </w:r>
      <w:r w:rsidR="00B628AA">
        <w:t>P</w:t>
      </w:r>
      <w:r w:rsidR="00EF4C17">
        <w:t>ayable</w:t>
      </w:r>
      <w:r w:rsidR="00CC7714">
        <w:t xml:space="preserve"> </w:t>
      </w:r>
      <w:r w:rsidR="00B628AA">
        <w:t>S</w:t>
      </w:r>
      <w:r w:rsidR="00CC7714">
        <w:t>ervices: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1815"/>
        <w:gridCol w:w="3889"/>
        <w:gridCol w:w="2923"/>
        <w:gridCol w:w="3105"/>
        <w:gridCol w:w="3272"/>
      </w:tblGrid>
      <w:tr w:rsidR="00414504" w:rsidRPr="0023559F" w14:paraId="35BA96B3" w14:textId="77777777" w:rsidTr="00E2174E">
        <w:tc>
          <w:tcPr>
            <w:tcW w:w="0" w:type="auto"/>
          </w:tcPr>
          <w:p w14:paraId="1D643542" w14:textId="77777777" w:rsidR="00414504" w:rsidRPr="0023559F" w:rsidRDefault="00414504" w:rsidP="003202DB">
            <w:pPr>
              <w:rPr>
                <w:sz w:val="24"/>
                <w:szCs w:val="24"/>
              </w:rPr>
            </w:pPr>
            <w:r w:rsidRPr="0023559F">
              <w:rPr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14:paraId="285BEC76" w14:textId="77777777" w:rsidR="00414504" w:rsidRPr="0023559F" w:rsidRDefault="00414504" w:rsidP="003202DB">
            <w:pPr>
              <w:rPr>
                <w:sz w:val="24"/>
                <w:szCs w:val="24"/>
              </w:rPr>
            </w:pPr>
            <w:r w:rsidRPr="0023559F">
              <w:rPr>
                <w:sz w:val="24"/>
                <w:szCs w:val="24"/>
              </w:rPr>
              <w:t>Objective</w:t>
            </w:r>
          </w:p>
        </w:tc>
        <w:tc>
          <w:tcPr>
            <w:tcW w:w="0" w:type="auto"/>
          </w:tcPr>
          <w:p w14:paraId="698B4049" w14:textId="77777777" w:rsidR="00414504" w:rsidRPr="0023559F" w:rsidRDefault="00414504" w:rsidP="003202DB">
            <w:pPr>
              <w:rPr>
                <w:sz w:val="24"/>
                <w:szCs w:val="24"/>
              </w:rPr>
            </w:pPr>
            <w:r w:rsidRPr="0023559F">
              <w:rPr>
                <w:sz w:val="24"/>
                <w:szCs w:val="24"/>
              </w:rPr>
              <w:t>Indicator</w:t>
            </w:r>
          </w:p>
        </w:tc>
        <w:tc>
          <w:tcPr>
            <w:tcW w:w="0" w:type="auto"/>
          </w:tcPr>
          <w:p w14:paraId="1E2E0D0F" w14:textId="77777777" w:rsidR="00414504" w:rsidRPr="0023559F" w:rsidRDefault="00414504" w:rsidP="003202DB">
            <w:pPr>
              <w:rPr>
                <w:sz w:val="24"/>
                <w:szCs w:val="24"/>
              </w:rPr>
            </w:pPr>
            <w:r w:rsidRPr="0023559F">
              <w:rPr>
                <w:sz w:val="24"/>
                <w:szCs w:val="24"/>
              </w:rPr>
              <w:t>Agency Capacity Requirements</w:t>
            </w:r>
          </w:p>
        </w:tc>
        <w:tc>
          <w:tcPr>
            <w:tcW w:w="0" w:type="auto"/>
          </w:tcPr>
          <w:p w14:paraId="67B7B870" w14:textId="77777777" w:rsidR="00414504" w:rsidRPr="0023559F" w:rsidRDefault="00414504" w:rsidP="003202DB">
            <w:pPr>
              <w:rPr>
                <w:sz w:val="24"/>
                <w:szCs w:val="24"/>
              </w:rPr>
            </w:pPr>
            <w:r w:rsidRPr="0023559F">
              <w:rPr>
                <w:sz w:val="24"/>
                <w:szCs w:val="24"/>
              </w:rPr>
              <w:t>DPH Program Manager Responsibilities (SOC)</w:t>
            </w:r>
          </w:p>
        </w:tc>
        <w:tc>
          <w:tcPr>
            <w:tcW w:w="0" w:type="auto"/>
          </w:tcPr>
          <w:p w14:paraId="0E2B7F2D" w14:textId="4215940E" w:rsidR="00414504" w:rsidRPr="0023559F" w:rsidRDefault="00414504" w:rsidP="006E6F36">
            <w:pPr>
              <w:jc w:val="center"/>
              <w:rPr>
                <w:sz w:val="24"/>
                <w:szCs w:val="24"/>
              </w:rPr>
            </w:pPr>
            <w:r w:rsidRPr="0023559F">
              <w:rPr>
                <w:sz w:val="24"/>
                <w:szCs w:val="24"/>
              </w:rPr>
              <w:t xml:space="preserve">DPH Monitoring Responsibilities </w:t>
            </w:r>
            <w:r w:rsidRPr="00CC7714">
              <w:rPr>
                <w:sz w:val="20"/>
                <w:szCs w:val="20"/>
              </w:rPr>
              <w:t>Business Office of Contract Compliance</w:t>
            </w:r>
            <w:r>
              <w:rPr>
                <w:sz w:val="20"/>
                <w:szCs w:val="20"/>
              </w:rPr>
              <w:t xml:space="preserve"> </w:t>
            </w:r>
            <w:r w:rsidRPr="00CC7714">
              <w:rPr>
                <w:sz w:val="20"/>
                <w:szCs w:val="20"/>
              </w:rPr>
              <w:t>(BOCC)</w:t>
            </w:r>
          </w:p>
        </w:tc>
      </w:tr>
      <w:tr w:rsidR="00414504" w:rsidRPr="0023559F" w14:paraId="4221EF44" w14:textId="77777777" w:rsidTr="00E2174E">
        <w:tc>
          <w:tcPr>
            <w:tcW w:w="0" w:type="auto"/>
          </w:tcPr>
          <w:p w14:paraId="52341117" w14:textId="77777777" w:rsidR="00414504" w:rsidRPr="0023559F" w:rsidRDefault="00414504" w:rsidP="00EF3064">
            <w:p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28084CF" w14:textId="0B0C320F" w:rsidR="00414504" w:rsidRPr="0023559F" w:rsidRDefault="00414504" w:rsidP="00EF3064">
            <w:p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Pay expense invoices</w:t>
            </w:r>
            <w:r>
              <w:rPr>
                <w:sz w:val="18"/>
                <w:szCs w:val="18"/>
              </w:rPr>
              <w:t xml:space="preserve">, </w:t>
            </w:r>
            <w:r w:rsidRPr="0023559F">
              <w:rPr>
                <w:sz w:val="18"/>
                <w:szCs w:val="18"/>
              </w:rPr>
              <w:t>check req</w:t>
            </w:r>
            <w:r>
              <w:rPr>
                <w:sz w:val="18"/>
                <w:szCs w:val="18"/>
              </w:rPr>
              <w:t>uisitions</w:t>
            </w:r>
            <w:r w:rsidRPr="0023559F">
              <w:rPr>
                <w:sz w:val="18"/>
                <w:szCs w:val="18"/>
              </w:rPr>
              <w:t xml:space="preserve"> on a timely basis and retain proper tracking.</w:t>
            </w:r>
          </w:p>
        </w:tc>
        <w:tc>
          <w:tcPr>
            <w:tcW w:w="0" w:type="auto"/>
          </w:tcPr>
          <w:p w14:paraId="0773D0CB" w14:textId="77777777" w:rsidR="00414504" w:rsidRPr="0023559F" w:rsidRDefault="00414504" w:rsidP="007B64E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Route expense invoices/check requests received from vendors to the appropriate DPH staff for review and payment authorization within one week of receipt (or following alternative approval pathways documented by DPH staff).</w:t>
            </w:r>
          </w:p>
          <w:p w14:paraId="011DBC30" w14:textId="77777777" w:rsidR="00414504" w:rsidRPr="0023559F" w:rsidRDefault="00414504" w:rsidP="00EF3064">
            <w:pPr>
              <w:rPr>
                <w:sz w:val="18"/>
                <w:szCs w:val="18"/>
              </w:rPr>
            </w:pPr>
          </w:p>
          <w:p w14:paraId="6CC93901" w14:textId="77777777" w:rsidR="00414504" w:rsidRPr="0023559F" w:rsidRDefault="00414504" w:rsidP="00EF3064">
            <w:p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AND/OR</w:t>
            </w:r>
          </w:p>
          <w:p w14:paraId="7E9CC4B6" w14:textId="77777777" w:rsidR="00414504" w:rsidRPr="0023559F" w:rsidRDefault="00414504" w:rsidP="00EF3064">
            <w:pPr>
              <w:rPr>
                <w:sz w:val="18"/>
                <w:szCs w:val="18"/>
              </w:rPr>
            </w:pPr>
          </w:p>
          <w:p w14:paraId="5F336E54" w14:textId="7E832A6A" w:rsidR="00414504" w:rsidRPr="0023559F" w:rsidRDefault="00414504" w:rsidP="0075356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 xml:space="preserve">Process and pay </w:t>
            </w:r>
            <w:r>
              <w:rPr>
                <w:sz w:val="18"/>
                <w:szCs w:val="18"/>
              </w:rPr>
              <w:t>the r</w:t>
            </w:r>
            <w:r w:rsidRPr="00F22AA3">
              <w:rPr>
                <w:sz w:val="18"/>
                <w:szCs w:val="18"/>
              </w:rPr>
              <w:t>equisition of expenditures/Purchase Order</w:t>
            </w:r>
            <w:r>
              <w:rPr>
                <w:sz w:val="18"/>
                <w:szCs w:val="18"/>
              </w:rPr>
              <w:t xml:space="preserve"> </w:t>
            </w:r>
            <w:r w:rsidRPr="0023559F">
              <w:rPr>
                <w:sz w:val="18"/>
                <w:szCs w:val="18"/>
              </w:rPr>
              <w:t>within 1 week (or o</w:t>
            </w:r>
            <w:r>
              <w:rPr>
                <w:sz w:val="18"/>
                <w:szCs w:val="18"/>
              </w:rPr>
              <w:t>therwise indicated) of receipt</w:t>
            </w:r>
            <w:r w:rsidRPr="0023559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31C823A" w14:textId="77777777" w:rsidR="00414504" w:rsidRPr="0023559F" w:rsidRDefault="00414504" w:rsidP="007210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Agency has a process to accurately track and process expense invoices, including an invoice log; tracking invoice receipt, routing and processing dates.</w:t>
            </w:r>
          </w:p>
          <w:p w14:paraId="07BCD2A0" w14:textId="77777777" w:rsidR="00414504" w:rsidRPr="0023559F" w:rsidRDefault="00414504" w:rsidP="007210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Accumulate 60 days of operating cash reserve at year-end to ensure continuity of payments prior to receiving the reimbursement funds from DPH.</w:t>
            </w:r>
          </w:p>
          <w:p w14:paraId="71E8F8A6" w14:textId="77777777" w:rsidR="00414504" w:rsidRPr="0023559F" w:rsidRDefault="00414504" w:rsidP="00B873F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Accounts payable procedure is adequately documented in the agency’s accounting policies and procedures.</w:t>
            </w:r>
          </w:p>
          <w:p w14:paraId="1197DECF" w14:textId="77777777" w:rsidR="00414504" w:rsidRPr="0023559F" w:rsidRDefault="00414504" w:rsidP="00980F29">
            <w:pPr>
              <w:pStyle w:val="ListParagraph"/>
              <w:ind w:left="72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A4B7143" w14:textId="77777777" w:rsidR="00414504" w:rsidRPr="0023559F" w:rsidRDefault="00414504" w:rsidP="00E804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Utilizing the standard template provided for tracking the subject Fiscal Intermediary requirements, document any vendor complaints about late or incorrect payments.</w:t>
            </w:r>
          </w:p>
        </w:tc>
        <w:tc>
          <w:tcPr>
            <w:tcW w:w="0" w:type="auto"/>
          </w:tcPr>
          <w:p w14:paraId="0B44C473" w14:textId="65171FC9" w:rsidR="00414504" w:rsidRPr="0023559F" w:rsidRDefault="00414504" w:rsidP="00B873F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BOCC will utilize a sample of expense invoices/check requests and the agency’s accounting policies and procedures to validate the process.</w:t>
            </w:r>
          </w:p>
          <w:p w14:paraId="68313097" w14:textId="7D3C4FB2" w:rsidR="00414504" w:rsidRPr="0023559F" w:rsidRDefault="00414504" w:rsidP="00E353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 xml:space="preserve">BOCC will review the standard template maintained by the DPH program </w:t>
            </w:r>
            <w:r>
              <w:rPr>
                <w:sz w:val="18"/>
                <w:szCs w:val="18"/>
              </w:rPr>
              <w:t>M</w:t>
            </w:r>
            <w:r w:rsidRPr="0023559F">
              <w:rPr>
                <w:sz w:val="18"/>
                <w:szCs w:val="18"/>
              </w:rPr>
              <w:t>anager</w:t>
            </w:r>
            <w:r>
              <w:rPr>
                <w:sz w:val="18"/>
                <w:szCs w:val="18"/>
              </w:rPr>
              <w:t xml:space="preserve">, </w:t>
            </w:r>
            <w:r w:rsidRPr="0023559F">
              <w:rPr>
                <w:sz w:val="18"/>
                <w:szCs w:val="18"/>
              </w:rPr>
              <w:t>and will record any documented issues as part of BOCC’s summary report.</w:t>
            </w:r>
          </w:p>
        </w:tc>
      </w:tr>
      <w:tr w:rsidR="00414504" w:rsidRPr="0023559F" w14:paraId="19A7CA0C" w14:textId="77777777" w:rsidTr="00E2174E">
        <w:tc>
          <w:tcPr>
            <w:tcW w:w="0" w:type="auto"/>
          </w:tcPr>
          <w:p w14:paraId="2AE4D873" w14:textId="77777777" w:rsidR="00414504" w:rsidRPr="0023559F" w:rsidRDefault="00414504" w:rsidP="003202DB">
            <w:p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85077F7" w14:textId="77777777" w:rsidR="00414504" w:rsidRPr="0023559F" w:rsidRDefault="00414504" w:rsidP="003202DB">
            <w:p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Timely and accurate reporting to DPH</w:t>
            </w:r>
          </w:p>
        </w:tc>
        <w:tc>
          <w:tcPr>
            <w:tcW w:w="0" w:type="auto"/>
          </w:tcPr>
          <w:p w14:paraId="3216FD72" w14:textId="77777777" w:rsidR="00414504" w:rsidRPr="0023559F" w:rsidRDefault="00414504" w:rsidP="00A6753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Allocate expenses to the correct funding source, budget, and/or program/cost center, as identified by the assigned DPH staff.</w:t>
            </w:r>
          </w:p>
          <w:p w14:paraId="3705D987" w14:textId="0DCA5348" w:rsidR="00414504" w:rsidRPr="0023559F" w:rsidRDefault="00414504" w:rsidP="003202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Submit weekly a list of issued checks, (or on an alternative schedule if indicated), to assigned DPH staff.</w:t>
            </w:r>
          </w:p>
          <w:p w14:paraId="7676E515" w14:textId="77777777" w:rsidR="00414504" w:rsidRPr="0023559F" w:rsidRDefault="00414504" w:rsidP="003202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Submit monthly actual-to-budget reports by funding source, budget, and/or program/cost center to the assigned DPH staff within 30 days of the report closing date.</w:t>
            </w:r>
          </w:p>
          <w:p w14:paraId="4A3F5D0D" w14:textId="77777777" w:rsidR="00414504" w:rsidRPr="0023559F" w:rsidRDefault="00414504" w:rsidP="00F70A8D">
            <w:pPr>
              <w:pStyle w:val="ListParagraph"/>
              <w:ind w:left="144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BE19077" w14:textId="77777777" w:rsidR="00414504" w:rsidRPr="0023559F" w:rsidRDefault="00414504" w:rsidP="00EB133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Agency must set up the program/cost center/funding sources in its accounting system and have a process to reconcile expense coding.</w:t>
            </w:r>
          </w:p>
          <w:p w14:paraId="17700FC8" w14:textId="77777777" w:rsidR="00414504" w:rsidRPr="0023559F" w:rsidRDefault="00414504" w:rsidP="004A2D36">
            <w:pPr>
              <w:pStyle w:val="ListParagraph"/>
              <w:ind w:left="144"/>
              <w:rPr>
                <w:sz w:val="18"/>
                <w:szCs w:val="18"/>
              </w:rPr>
            </w:pPr>
          </w:p>
          <w:p w14:paraId="411A2A85" w14:textId="77777777" w:rsidR="00414504" w:rsidRPr="0023559F" w:rsidRDefault="00414504" w:rsidP="00EB133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Agency has a written set of policies and procedures that references DPH’s reporting requirements.</w:t>
            </w:r>
          </w:p>
        </w:tc>
        <w:tc>
          <w:tcPr>
            <w:tcW w:w="0" w:type="auto"/>
          </w:tcPr>
          <w:p w14:paraId="23DE195E" w14:textId="77777777" w:rsidR="00414504" w:rsidRPr="0023559F" w:rsidRDefault="00414504" w:rsidP="00866ED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 xml:space="preserve">Utilizing the standard template provided for tracking the subject Fiscal Intermediary requirements, document receipt of required reports.  </w:t>
            </w:r>
          </w:p>
          <w:p w14:paraId="1A7FF7F4" w14:textId="77777777" w:rsidR="00414504" w:rsidRPr="0023559F" w:rsidRDefault="00414504" w:rsidP="003202DB">
            <w:pPr>
              <w:rPr>
                <w:sz w:val="18"/>
                <w:szCs w:val="18"/>
              </w:rPr>
            </w:pPr>
          </w:p>
          <w:p w14:paraId="3A580616" w14:textId="77777777" w:rsidR="00414504" w:rsidRPr="0023559F" w:rsidRDefault="00414504" w:rsidP="003202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DEE478B" w14:textId="70364F77" w:rsidR="00414504" w:rsidRPr="0023559F" w:rsidRDefault="00414504" w:rsidP="001E4E1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BOCC will utilize a sample of expense invoices to validate that the program/cost center/funding sources indicated by the assigned DPH staff are correctly reflected on the monthly reports.</w:t>
            </w:r>
          </w:p>
          <w:p w14:paraId="193B7943" w14:textId="339DDF27" w:rsidR="00414504" w:rsidRPr="0023559F" w:rsidRDefault="00414504" w:rsidP="00CE525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 xml:space="preserve">BOCC will review the standard template maintained by the DPH </w:t>
            </w:r>
            <w:r>
              <w:rPr>
                <w:sz w:val="18"/>
                <w:szCs w:val="18"/>
              </w:rPr>
              <w:t>P</w:t>
            </w:r>
            <w:r w:rsidRPr="0023559F">
              <w:rPr>
                <w:sz w:val="18"/>
                <w:szCs w:val="18"/>
              </w:rPr>
              <w:t xml:space="preserve">rogram </w:t>
            </w:r>
            <w:r>
              <w:rPr>
                <w:sz w:val="18"/>
                <w:szCs w:val="18"/>
              </w:rPr>
              <w:t>M</w:t>
            </w:r>
            <w:r w:rsidRPr="0023559F">
              <w:rPr>
                <w:sz w:val="18"/>
                <w:szCs w:val="18"/>
              </w:rPr>
              <w:t>anager, and will record any documented issues as part of BOCC’s summary report.</w:t>
            </w:r>
          </w:p>
        </w:tc>
      </w:tr>
      <w:tr w:rsidR="00414504" w:rsidRPr="0023559F" w14:paraId="371482A0" w14:textId="77777777" w:rsidTr="00E2174E">
        <w:tc>
          <w:tcPr>
            <w:tcW w:w="0" w:type="auto"/>
          </w:tcPr>
          <w:p w14:paraId="54FEE581" w14:textId="77777777" w:rsidR="00414504" w:rsidRPr="0023559F" w:rsidRDefault="00414504" w:rsidP="006F6C3F">
            <w:p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1B77A14" w14:textId="77777777" w:rsidR="00414504" w:rsidRPr="0023559F" w:rsidRDefault="00414504" w:rsidP="00450B81">
            <w:p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Set up subcontracts and retain proper tracking.</w:t>
            </w:r>
          </w:p>
        </w:tc>
        <w:tc>
          <w:tcPr>
            <w:tcW w:w="0" w:type="auto"/>
          </w:tcPr>
          <w:p w14:paraId="06D3208B" w14:textId="77777777" w:rsidR="00414504" w:rsidRPr="0023559F" w:rsidRDefault="00414504" w:rsidP="00512F16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Set up and maintain subcontract agreements/MOU. The agreements must be valid and current, and include scope of work/deliverables.</w:t>
            </w:r>
          </w:p>
          <w:p w14:paraId="6C942EB7" w14:textId="77777777" w:rsidR="00414504" w:rsidRPr="0023559F" w:rsidRDefault="00414504" w:rsidP="008F75B0">
            <w:pPr>
              <w:rPr>
                <w:sz w:val="18"/>
                <w:szCs w:val="18"/>
              </w:rPr>
            </w:pPr>
          </w:p>
          <w:p w14:paraId="0BD1017E" w14:textId="77777777" w:rsidR="00414504" w:rsidRPr="0023559F" w:rsidRDefault="00414504" w:rsidP="003E774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Submit monthly lists of all sub-contractors paid during this period, identified by funding source, budget, and/or program/cost center to the assigned DPH staff.</w:t>
            </w:r>
          </w:p>
        </w:tc>
        <w:tc>
          <w:tcPr>
            <w:tcW w:w="0" w:type="auto"/>
          </w:tcPr>
          <w:p w14:paraId="6C32FE89" w14:textId="35ADFCFB" w:rsidR="00414504" w:rsidRPr="0023559F" w:rsidRDefault="00414504" w:rsidP="00FB3B1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 xml:space="preserve">Agency has a policy to review </w:t>
            </w:r>
            <w:r>
              <w:rPr>
                <w:sz w:val="18"/>
                <w:szCs w:val="18"/>
              </w:rPr>
              <w:t>subcontract agreements/</w:t>
            </w:r>
            <w:r w:rsidRPr="0023559F">
              <w:rPr>
                <w:sz w:val="18"/>
                <w:szCs w:val="18"/>
              </w:rPr>
              <w:t xml:space="preserve">MOU’s and edit </w:t>
            </w:r>
            <w:r>
              <w:rPr>
                <w:sz w:val="18"/>
                <w:szCs w:val="18"/>
              </w:rPr>
              <w:t>them</w:t>
            </w:r>
            <w:r w:rsidRPr="0023559F">
              <w:rPr>
                <w:sz w:val="18"/>
                <w:szCs w:val="18"/>
              </w:rPr>
              <w:t xml:space="preserve"> as needed on an annual basis.</w:t>
            </w:r>
          </w:p>
        </w:tc>
        <w:tc>
          <w:tcPr>
            <w:tcW w:w="0" w:type="auto"/>
          </w:tcPr>
          <w:p w14:paraId="7B5BBDB6" w14:textId="5AA1B131" w:rsidR="00414504" w:rsidRPr="0023559F" w:rsidRDefault="00414504" w:rsidP="0092674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 xml:space="preserve">Utilizing the standard template provided for tracking the subject Fiscal Intermediary requirements, document any issues in subcontractor </w:t>
            </w:r>
            <w:r>
              <w:rPr>
                <w:sz w:val="18"/>
                <w:szCs w:val="18"/>
              </w:rPr>
              <w:t>agreements/</w:t>
            </w:r>
            <w:r w:rsidRPr="0023559F">
              <w:rPr>
                <w:sz w:val="18"/>
                <w:szCs w:val="18"/>
              </w:rPr>
              <w:t>MOUs.</w:t>
            </w:r>
          </w:p>
        </w:tc>
        <w:tc>
          <w:tcPr>
            <w:tcW w:w="0" w:type="auto"/>
          </w:tcPr>
          <w:p w14:paraId="0989D759" w14:textId="5805B338" w:rsidR="00414504" w:rsidRPr="0023559F" w:rsidRDefault="00414504" w:rsidP="00E6774F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3559F">
              <w:rPr>
                <w:sz w:val="18"/>
                <w:szCs w:val="18"/>
              </w:rPr>
              <w:t xml:space="preserve">BOCC will refer to the fiscal and compliance monitoring results to validate compliance with the </w:t>
            </w:r>
            <w:r w:rsidR="00D07A34">
              <w:rPr>
                <w:sz w:val="18"/>
                <w:szCs w:val="18"/>
              </w:rPr>
              <w:t>C</w:t>
            </w:r>
            <w:r w:rsidRPr="0023559F">
              <w:rPr>
                <w:sz w:val="18"/>
                <w:szCs w:val="18"/>
              </w:rPr>
              <w:t xml:space="preserve">ity’s subcontractor standards. </w:t>
            </w:r>
          </w:p>
          <w:p w14:paraId="081717ED" w14:textId="77777777" w:rsidR="00414504" w:rsidRPr="0023559F" w:rsidRDefault="00414504" w:rsidP="00E6774F">
            <w:pPr>
              <w:pStyle w:val="ListParagraph"/>
              <w:ind w:left="72"/>
              <w:rPr>
                <w:sz w:val="18"/>
                <w:szCs w:val="18"/>
              </w:rPr>
            </w:pPr>
          </w:p>
          <w:p w14:paraId="78FD811D" w14:textId="77777777" w:rsidR="00414504" w:rsidRPr="0023559F" w:rsidRDefault="00414504" w:rsidP="00E6774F">
            <w:pPr>
              <w:pStyle w:val="ListParagraph"/>
              <w:ind w:left="72"/>
              <w:rPr>
                <w:sz w:val="18"/>
                <w:szCs w:val="18"/>
              </w:rPr>
            </w:pPr>
            <w:r w:rsidRPr="0023559F">
              <w:rPr>
                <w:sz w:val="18"/>
                <w:szCs w:val="18"/>
              </w:rPr>
              <w:t>AND/OR</w:t>
            </w:r>
          </w:p>
          <w:p w14:paraId="304F2135" w14:textId="77777777" w:rsidR="00414504" w:rsidRPr="0023559F" w:rsidRDefault="00414504" w:rsidP="00E6774F">
            <w:pPr>
              <w:pStyle w:val="ListParagraph"/>
              <w:ind w:left="72"/>
              <w:rPr>
                <w:sz w:val="18"/>
                <w:szCs w:val="18"/>
              </w:rPr>
            </w:pPr>
          </w:p>
          <w:p w14:paraId="66B9C8D7" w14:textId="08177DBF" w:rsidR="00414504" w:rsidRPr="0023559F" w:rsidRDefault="00414504" w:rsidP="00E6774F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3559F">
              <w:rPr>
                <w:sz w:val="18"/>
                <w:szCs w:val="18"/>
              </w:rPr>
              <w:t>BOCC will reconcile a sample of subcontractors’ invoice</w:t>
            </w:r>
            <w:r w:rsidR="00D07A34">
              <w:rPr>
                <w:sz w:val="18"/>
                <w:szCs w:val="18"/>
              </w:rPr>
              <w:t>s</w:t>
            </w:r>
            <w:r w:rsidRPr="0023559F">
              <w:rPr>
                <w:sz w:val="18"/>
                <w:szCs w:val="18"/>
              </w:rPr>
              <w:t xml:space="preserve"> with their respective MOUs to ensure that payments are within the scope of the MOU and that the MOUs are properly set up.</w:t>
            </w:r>
          </w:p>
          <w:p w14:paraId="005AD11A" w14:textId="7E6AF724" w:rsidR="00414504" w:rsidRPr="0023559F" w:rsidRDefault="00414504" w:rsidP="00E6774F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3559F">
              <w:rPr>
                <w:sz w:val="18"/>
                <w:szCs w:val="18"/>
              </w:rPr>
              <w:t>BOCC will review the standard template maintained by the DPH program manager, and will record any documented issues as part of BOCC’s summary report.</w:t>
            </w:r>
          </w:p>
        </w:tc>
      </w:tr>
    </w:tbl>
    <w:p w14:paraId="28E4061A" w14:textId="1942ADD0" w:rsidR="00EF4C17" w:rsidRDefault="00D05CE9" w:rsidP="00D05CE9">
      <w:pPr>
        <w:pStyle w:val="Header"/>
      </w:pPr>
      <w:r>
        <w:lastRenderedPageBreak/>
        <w:t>FY 20-21 Performance Objectives for Fiscal Intermediary/Program Administration</w:t>
      </w:r>
      <w:r w:rsidR="00B628AA">
        <w:t xml:space="preserve">: </w:t>
      </w:r>
      <w:r w:rsidR="00546706" w:rsidRPr="00546706">
        <w:t xml:space="preserve">Recruiting </w:t>
      </w:r>
      <w:r w:rsidR="00B628AA">
        <w:t>and</w:t>
      </w:r>
      <w:r w:rsidR="00546706" w:rsidRPr="00546706">
        <w:t xml:space="preserve"> Staff Management</w:t>
      </w:r>
      <w:r w:rsidR="00546706">
        <w:t xml:space="preserve"> Functions</w:t>
      </w:r>
      <w:r w:rsidR="001831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1747"/>
        <w:gridCol w:w="2674"/>
        <w:gridCol w:w="2992"/>
        <w:gridCol w:w="3503"/>
        <w:gridCol w:w="4087"/>
      </w:tblGrid>
      <w:tr w:rsidR="009F68F6" w:rsidRPr="00D36A1B" w14:paraId="2596BC66" w14:textId="77777777" w:rsidTr="008506B1">
        <w:tc>
          <w:tcPr>
            <w:tcW w:w="0" w:type="auto"/>
          </w:tcPr>
          <w:p w14:paraId="4ECACA5E" w14:textId="77777777" w:rsidR="00D25055" w:rsidRPr="00D36A1B" w:rsidRDefault="00D25055">
            <w:pPr>
              <w:rPr>
                <w:sz w:val="24"/>
                <w:szCs w:val="24"/>
              </w:rPr>
            </w:pPr>
            <w:r w:rsidRPr="00D36A1B">
              <w:rPr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14:paraId="54C25775" w14:textId="77777777" w:rsidR="00D25055" w:rsidRPr="00D36A1B" w:rsidRDefault="00D25055">
            <w:pPr>
              <w:rPr>
                <w:sz w:val="24"/>
                <w:szCs w:val="24"/>
              </w:rPr>
            </w:pPr>
            <w:r w:rsidRPr="00D36A1B">
              <w:rPr>
                <w:sz w:val="24"/>
                <w:szCs w:val="24"/>
              </w:rPr>
              <w:t>Objective</w:t>
            </w:r>
          </w:p>
        </w:tc>
        <w:tc>
          <w:tcPr>
            <w:tcW w:w="0" w:type="auto"/>
          </w:tcPr>
          <w:p w14:paraId="3EA1FF24" w14:textId="77777777" w:rsidR="00D25055" w:rsidRPr="00D36A1B" w:rsidRDefault="00D25055">
            <w:pPr>
              <w:rPr>
                <w:sz w:val="24"/>
                <w:szCs w:val="24"/>
              </w:rPr>
            </w:pPr>
            <w:r w:rsidRPr="00D36A1B">
              <w:rPr>
                <w:sz w:val="24"/>
                <w:szCs w:val="24"/>
              </w:rPr>
              <w:t>Indicator</w:t>
            </w:r>
          </w:p>
        </w:tc>
        <w:tc>
          <w:tcPr>
            <w:tcW w:w="0" w:type="auto"/>
          </w:tcPr>
          <w:p w14:paraId="67C5E789" w14:textId="77777777" w:rsidR="00D25055" w:rsidRPr="00D36A1B" w:rsidRDefault="00D25055" w:rsidP="00183119">
            <w:pPr>
              <w:rPr>
                <w:sz w:val="24"/>
                <w:szCs w:val="24"/>
              </w:rPr>
            </w:pPr>
            <w:r w:rsidRPr="00D36A1B">
              <w:rPr>
                <w:sz w:val="24"/>
                <w:szCs w:val="24"/>
              </w:rPr>
              <w:t>Agency Capacity Requirements</w:t>
            </w:r>
          </w:p>
        </w:tc>
        <w:tc>
          <w:tcPr>
            <w:tcW w:w="0" w:type="auto"/>
          </w:tcPr>
          <w:p w14:paraId="2E505C58" w14:textId="77777777" w:rsidR="00D25055" w:rsidRPr="00D36A1B" w:rsidRDefault="00D25055" w:rsidP="00183119">
            <w:pPr>
              <w:rPr>
                <w:sz w:val="24"/>
                <w:szCs w:val="24"/>
              </w:rPr>
            </w:pPr>
            <w:r w:rsidRPr="00D36A1B">
              <w:rPr>
                <w:sz w:val="24"/>
                <w:szCs w:val="24"/>
              </w:rPr>
              <w:t>DPH Program manager Responsibilities (SOC)</w:t>
            </w:r>
          </w:p>
        </w:tc>
        <w:tc>
          <w:tcPr>
            <w:tcW w:w="0" w:type="auto"/>
          </w:tcPr>
          <w:p w14:paraId="5BF3732F" w14:textId="77777777" w:rsidR="00D25055" w:rsidRPr="00D36A1B" w:rsidRDefault="00D25055">
            <w:pPr>
              <w:rPr>
                <w:sz w:val="24"/>
                <w:szCs w:val="24"/>
              </w:rPr>
            </w:pPr>
            <w:r w:rsidRPr="00D36A1B">
              <w:rPr>
                <w:sz w:val="24"/>
                <w:szCs w:val="24"/>
              </w:rPr>
              <w:t>DPH Monitoring Responsibilities (BOCC)</w:t>
            </w:r>
          </w:p>
        </w:tc>
      </w:tr>
      <w:tr w:rsidR="009F68F6" w:rsidRPr="00D36A1B" w14:paraId="3C34EE86" w14:textId="77777777" w:rsidTr="008506B1">
        <w:tc>
          <w:tcPr>
            <w:tcW w:w="0" w:type="auto"/>
          </w:tcPr>
          <w:p w14:paraId="22C6653B" w14:textId="77777777" w:rsidR="00D25055" w:rsidRPr="00D36A1B" w:rsidRDefault="00D25055" w:rsidP="00A95710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026498C" w14:textId="77777777" w:rsidR="00D25055" w:rsidRPr="00D36A1B" w:rsidRDefault="00D25055" w:rsidP="00A95710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Recruit for op</w:t>
            </w:r>
            <w:r w:rsidR="00257455" w:rsidRPr="00D36A1B">
              <w:rPr>
                <w:sz w:val="18"/>
                <w:szCs w:val="18"/>
              </w:rPr>
              <w:t>en positions in a timely manner</w:t>
            </w:r>
          </w:p>
        </w:tc>
        <w:tc>
          <w:tcPr>
            <w:tcW w:w="0" w:type="auto"/>
          </w:tcPr>
          <w:p w14:paraId="47E053C7" w14:textId="138B31EA" w:rsidR="00D25055" w:rsidRPr="00D36A1B" w:rsidRDefault="00D25055" w:rsidP="00A3794E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 xml:space="preserve">Post advertisement for open positions within </w:t>
            </w:r>
            <w:r w:rsidR="00B628AA">
              <w:rPr>
                <w:sz w:val="18"/>
                <w:szCs w:val="18"/>
              </w:rPr>
              <w:t>one</w:t>
            </w:r>
            <w:r w:rsidRPr="00D36A1B">
              <w:rPr>
                <w:sz w:val="18"/>
                <w:szCs w:val="18"/>
              </w:rPr>
              <w:t xml:space="preserve"> week of the request.</w:t>
            </w:r>
          </w:p>
          <w:p w14:paraId="03FAE3EB" w14:textId="77777777" w:rsidR="00D25055" w:rsidRPr="00D36A1B" w:rsidRDefault="00D25055" w:rsidP="00A3794E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Schedule interviews and set up panels for selected candidates.</w:t>
            </w:r>
          </w:p>
          <w:p w14:paraId="4B06740E" w14:textId="1611A2E5" w:rsidR="00D25055" w:rsidRPr="00D36A1B" w:rsidRDefault="00D25055" w:rsidP="00A3794E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 xml:space="preserve">Offer selected candidate the job within </w:t>
            </w:r>
            <w:r w:rsidR="00B628AA">
              <w:rPr>
                <w:sz w:val="18"/>
                <w:szCs w:val="18"/>
              </w:rPr>
              <w:t>one</w:t>
            </w:r>
            <w:r w:rsidRPr="00D36A1B">
              <w:rPr>
                <w:sz w:val="18"/>
                <w:szCs w:val="18"/>
              </w:rPr>
              <w:t xml:space="preserve"> week of selection.</w:t>
            </w:r>
          </w:p>
        </w:tc>
        <w:tc>
          <w:tcPr>
            <w:tcW w:w="0" w:type="auto"/>
          </w:tcPr>
          <w:p w14:paraId="519F1414" w14:textId="77777777" w:rsidR="00D25055" w:rsidRPr="00D36A1B" w:rsidRDefault="00D250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ED218AF" w14:textId="77777777" w:rsidR="00D25055" w:rsidRPr="00D36A1B" w:rsidRDefault="00D25055" w:rsidP="00257ED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 xml:space="preserve">Utilizing the standard template provided for tracking the subject Fiscal Intermediary requirements, document any issues in </w:t>
            </w:r>
            <w:r w:rsidR="00257ED2" w:rsidRPr="00D36A1B">
              <w:rPr>
                <w:sz w:val="18"/>
                <w:szCs w:val="18"/>
              </w:rPr>
              <w:t>the recruitment process</w:t>
            </w:r>
            <w:r w:rsidRPr="00D36A1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D09CE1C" w14:textId="77777777" w:rsidR="00D25055" w:rsidRPr="00D36A1B" w:rsidRDefault="00E31EFC" w:rsidP="008506B1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BOCC will review the standard template maintained by the DPH program manager, and will record any documented issues as part of BOCC’s summary report.</w:t>
            </w:r>
          </w:p>
        </w:tc>
      </w:tr>
      <w:tr w:rsidR="009F68F6" w:rsidRPr="00D36A1B" w14:paraId="4B39DB66" w14:textId="77777777" w:rsidTr="008506B1">
        <w:tc>
          <w:tcPr>
            <w:tcW w:w="0" w:type="auto"/>
          </w:tcPr>
          <w:p w14:paraId="55AF692A" w14:textId="77777777" w:rsidR="00D25055" w:rsidRPr="00D36A1B" w:rsidRDefault="008D27E6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5624BF8" w14:textId="77777777" w:rsidR="00D25055" w:rsidRPr="00D36A1B" w:rsidRDefault="00D25055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Properly on-board new employees.</w:t>
            </w:r>
          </w:p>
        </w:tc>
        <w:tc>
          <w:tcPr>
            <w:tcW w:w="0" w:type="auto"/>
          </w:tcPr>
          <w:p w14:paraId="67094F85" w14:textId="77777777" w:rsidR="00D25055" w:rsidRPr="00D36A1B" w:rsidRDefault="00D25055" w:rsidP="00A3794E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Enroll employees in the appropriate agency benefits</w:t>
            </w:r>
          </w:p>
          <w:p w14:paraId="6B3C86C4" w14:textId="083FACCE" w:rsidR="00D25055" w:rsidRPr="00D36A1B" w:rsidRDefault="00D25055" w:rsidP="00A3794E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Ensure compliance with all local, state</w:t>
            </w:r>
            <w:r w:rsidR="00D07A34">
              <w:rPr>
                <w:sz w:val="18"/>
                <w:szCs w:val="18"/>
              </w:rPr>
              <w:t>,</w:t>
            </w:r>
            <w:r w:rsidRPr="00D36A1B">
              <w:rPr>
                <w:sz w:val="18"/>
                <w:szCs w:val="18"/>
              </w:rPr>
              <w:t xml:space="preserve"> and federal employee laws.</w:t>
            </w:r>
          </w:p>
        </w:tc>
        <w:tc>
          <w:tcPr>
            <w:tcW w:w="0" w:type="auto"/>
          </w:tcPr>
          <w:p w14:paraId="0C0B0B29" w14:textId="77777777" w:rsidR="00D25055" w:rsidRPr="00D36A1B" w:rsidRDefault="0071043A" w:rsidP="0071043A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Agency has a process to reconcile the benefit broker’s report with agency’s payroll to ensure all employees properly e</w:t>
            </w:r>
            <w:r w:rsidR="007927CC" w:rsidRPr="00D36A1B">
              <w:rPr>
                <w:sz w:val="18"/>
                <w:szCs w:val="18"/>
              </w:rPr>
              <w:t>nrolled in the elected benefits.</w:t>
            </w:r>
          </w:p>
          <w:p w14:paraId="1EB7E469" w14:textId="30640855" w:rsidR="004C5660" w:rsidRPr="00D36A1B" w:rsidRDefault="004C5660" w:rsidP="004C5660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Agency maintains and update</w:t>
            </w:r>
            <w:r w:rsidR="00B628AA">
              <w:rPr>
                <w:sz w:val="18"/>
                <w:szCs w:val="18"/>
              </w:rPr>
              <w:t>s</w:t>
            </w:r>
            <w:r w:rsidRPr="00D36A1B">
              <w:rPr>
                <w:sz w:val="18"/>
                <w:szCs w:val="18"/>
              </w:rPr>
              <w:t xml:space="preserve"> employee handbook and provide</w:t>
            </w:r>
            <w:r w:rsidR="00B628AA">
              <w:rPr>
                <w:sz w:val="18"/>
                <w:szCs w:val="18"/>
              </w:rPr>
              <w:t>s</w:t>
            </w:r>
            <w:r w:rsidRPr="00D36A1B">
              <w:rPr>
                <w:sz w:val="18"/>
                <w:szCs w:val="18"/>
              </w:rPr>
              <w:t xml:space="preserve"> it to the employees during orientation.</w:t>
            </w:r>
          </w:p>
        </w:tc>
        <w:tc>
          <w:tcPr>
            <w:tcW w:w="0" w:type="auto"/>
          </w:tcPr>
          <w:p w14:paraId="0FC252AF" w14:textId="08A06E03" w:rsidR="00D25055" w:rsidRPr="00D36A1B" w:rsidRDefault="00DB3C0E" w:rsidP="00DB3C0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Utilizing the standard template provided for tracking the subject Fiscal Intermediary requirements, d</w:t>
            </w:r>
            <w:r w:rsidR="00D25055" w:rsidRPr="00D36A1B">
              <w:rPr>
                <w:sz w:val="18"/>
                <w:szCs w:val="18"/>
              </w:rPr>
              <w:t>ocument and compile any employee complaints of improper benefit enrollment.</w:t>
            </w:r>
          </w:p>
        </w:tc>
        <w:tc>
          <w:tcPr>
            <w:tcW w:w="0" w:type="auto"/>
          </w:tcPr>
          <w:p w14:paraId="2CEAC271" w14:textId="432B125F" w:rsidR="00D25055" w:rsidRPr="00D36A1B" w:rsidRDefault="00D25055" w:rsidP="00622A9D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 xml:space="preserve">BOCC will refer to the fiscal and compliance monitoring results to validate compliance with the </w:t>
            </w:r>
            <w:r w:rsidR="00D07A34">
              <w:rPr>
                <w:sz w:val="18"/>
                <w:szCs w:val="18"/>
              </w:rPr>
              <w:t>C</w:t>
            </w:r>
            <w:r w:rsidRPr="00D36A1B">
              <w:rPr>
                <w:sz w:val="18"/>
                <w:szCs w:val="18"/>
              </w:rPr>
              <w:t xml:space="preserve">ity’s Personnel Policy and Payroll standards. </w:t>
            </w:r>
          </w:p>
          <w:p w14:paraId="45322BBD" w14:textId="1657E3DD" w:rsidR="00622A9D" w:rsidRPr="00D36A1B" w:rsidRDefault="00D25055" w:rsidP="00622A9D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 xml:space="preserve">BOCC will request information related to any workforce-related audits (such as EDD, 403b, </w:t>
            </w:r>
            <w:r w:rsidR="00D07A34" w:rsidRPr="00D36A1B">
              <w:rPr>
                <w:sz w:val="18"/>
                <w:szCs w:val="18"/>
              </w:rPr>
              <w:t>etc.</w:t>
            </w:r>
            <w:r w:rsidRPr="00D36A1B">
              <w:rPr>
                <w:sz w:val="18"/>
                <w:szCs w:val="18"/>
              </w:rPr>
              <w:t xml:space="preserve">) (if any) along with any audit results to ensure that any audit issues have been </w:t>
            </w:r>
            <w:r w:rsidR="00D07A34" w:rsidRPr="00D36A1B">
              <w:rPr>
                <w:sz w:val="18"/>
                <w:szCs w:val="18"/>
              </w:rPr>
              <w:t>resolved or</w:t>
            </w:r>
            <w:r w:rsidRPr="00D36A1B">
              <w:rPr>
                <w:sz w:val="18"/>
                <w:szCs w:val="18"/>
              </w:rPr>
              <w:t xml:space="preserve"> are in process.</w:t>
            </w:r>
          </w:p>
          <w:p w14:paraId="30C4BE77" w14:textId="77777777" w:rsidR="00622A9D" w:rsidRPr="00D36A1B" w:rsidRDefault="00622A9D" w:rsidP="00622A9D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BOCC will review the standard template maintained by the DPH program manager, and will record any documented issues as part of BOCC’s summary report.</w:t>
            </w:r>
          </w:p>
          <w:p w14:paraId="06CB95AE" w14:textId="77777777" w:rsidR="00D25055" w:rsidRPr="00D36A1B" w:rsidRDefault="00D25055" w:rsidP="00711A58">
            <w:pPr>
              <w:pStyle w:val="ListParagraph"/>
              <w:ind w:left="144"/>
              <w:rPr>
                <w:sz w:val="18"/>
                <w:szCs w:val="18"/>
              </w:rPr>
            </w:pPr>
          </w:p>
        </w:tc>
      </w:tr>
      <w:tr w:rsidR="009F68F6" w:rsidRPr="00D36A1B" w14:paraId="71EA5D04" w14:textId="77777777" w:rsidTr="008506B1">
        <w:tc>
          <w:tcPr>
            <w:tcW w:w="0" w:type="auto"/>
          </w:tcPr>
          <w:p w14:paraId="05A2B1D3" w14:textId="77777777" w:rsidR="00D25055" w:rsidRPr="00D36A1B" w:rsidRDefault="00675C88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D8C8FFE" w14:textId="77777777" w:rsidR="00D25055" w:rsidRPr="00D36A1B" w:rsidRDefault="00D25055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Provide effective staff management.</w:t>
            </w:r>
          </w:p>
        </w:tc>
        <w:tc>
          <w:tcPr>
            <w:tcW w:w="0" w:type="auto"/>
          </w:tcPr>
          <w:p w14:paraId="247CE0C9" w14:textId="77777777" w:rsidR="00D25055" w:rsidRPr="00D36A1B" w:rsidRDefault="00D25055" w:rsidP="00675C8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Allocate DPH annual cost of doing business increases to all employees at the same percentage increase allocated to the overall contract.</w:t>
            </w:r>
          </w:p>
          <w:p w14:paraId="65C84CDE" w14:textId="77777777" w:rsidR="00D25055" w:rsidRPr="00D36A1B" w:rsidRDefault="00D25055" w:rsidP="00675C8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Conduct annual employee evaluations.</w:t>
            </w:r>
          </w:p>
          <w:p w14:paraId="5039D649" w14:textId="167D97FB" w:rsidR="00D25055" w:rsidRPr="00D36A1B" w:rsidRDefault="00D25055" w:rsidP="00675C8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Prepare disciplinary action policies (for employee termination) and provide to DPH program manager.</w:t>
            </w:r>
          </w:p>
        </w:tc>
        <w:tc>
          <w:tcPr>
            <w:tcW w:w="0" w:type="auto"/>
          </w:tcPr>
          <w:p w14:paraId="55DE8F1A" w14:textId="77777777" w:rsidR="00D25055" w:rsidRPr="00D36A1B" w:rsidRDefault="00706513" w:rsidP="009F68F6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A</w:t>
            </w:r>
            <w:r w:rsidR="009F68F6" w:rsidRPr="00D36A1B">
              <w:rPr>
                <w:sz w:val="18"/>
                <w:szCs w:val="18"/>
              </w:rPr>
              <w:t>nnual performance and disciplinary policies are</w:t>
            </w:r>
            <w:r w:rsidR="00E6774F" w:rsidRPr="00D36A1B">
              <w:rPr>
                <w:sz w:val="18"/>
                <w:szCs w:val="18"/>
              </w:rPr>
              <w:t xml:space="preserve"> adequately documented in the</w:t>
            </w:r>
            <w:r w:rsidRPr="00D36A1B">
              <w:rPr>
                <w:sz w:val="18"/>
                <w:szCs w:val="18"/>
              </w:rPr>
              <w:t xml:space="preserve"> agency’s Personnel policy handbook.</w:t>
            </w:r>
          </w:p>
        </w:tc>
        <w:tc>
          <w:tcPr>
            <w:tcW w:w="0" w:type="auto"/>
          </w:tcPr>
          <w:p w14:paraId="5624B774" w14:textId="77777777" w:rsidR="00D25055" w:rsidRPr="00D36A1B" w:rsidRDefault="00D25055" w:rsidP="00675C88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Participate in the annual performance review process.</w:t>
            </w:r>
          </w:p>
          <w:p w14:paraId="599EC344" w14:textId="77777777" w:rsidR="00D25055" w:rsidRPr="00D36A1B" w:rsidRDefault="00D25055" w:rsidP="00675C88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Review agency’s disciplinary action policies (for employee termination).</w:t>
            </w:r>
          </w:p>
        </w:tc>
        <w:tc>
          <w:tcPr>
            <w:tcW w:w="0" w:type="auto"/>
          </w:tcPr>
          <w:p w14:paraId="3AB5F7A6" w14:textId="6803E547" w:rsidR="00D25055" w:rsidRPr="00D36A1B" w:rsidRDefault="00D25055" w:rsidP="00675C88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BOCC will sample employee files to confirm salary rate increases occurred, and occurred in alignment with the cost of doing business rate increase</w:t>
            </w:r>
            <w:r w:rsidR="00B628AA">
              <w:rPr>
                <w:sz w:val="18"/>
                <w:szCs w:val="18"/>
              </w:rPr>
              <w:t xml:space="preserve"> funded by DPH</w:t>
            </w:r>
            <w:r w:rsidRPr="00D36A1B">
              <w:rPr>
                <w:sz w:val="18"/>
                <w:szCs w:val="18"/>
              </w:rPr>
              <w:t>. BOCC may also review Appendix B Budget to confirm the increase in salaries.</w:t>
            </w:r>
          </w:p>
        </w:tc>
      </w:tr>
      <w:tr w:rsidR="00D36A1B" w:rsidRPr="00D36A1B" w14:paraId="58ADD250" w14:textId="77777777" w:rsidTr="008506B1">
        <w:tc>
          <w:tcPr>
            <w:tcW w:w="0" w:type="auto"/>
          </w:tcPr>
          <w:p w14:paraId="46FF47C2" w14:textId="77777777" w:rsidR="000F4CA3" w:rsidRPr="00D36A1B" w:rsidRDefault="000F4CA3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A70A721" w14:textId="77777777" w:rsidR="000F4CA3" w:rsidRPr="00D36A1B" w:rsidRDefault="000F4CA3">
            <w:p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 xml:space="preserve">Process payroll on a timely basis and maintain proper </w:t>
            </w:r>
            <w:r w:rsidR="00754898" w:rsidRPr="00D36A1B">
              <w:rPr>
                <w:sz w:val="18"/>
                <w:szCs w:val="18"/>
              </w:rPr>
              <w:t>tracking</w:t>
            </w:r>
          </w:p>
        </w:tc>
        <w:tc>
          <w:tcPr>
            <w:tcW w:w="0" w:type="auto"/>
          </w:tcPr>
          <w:p w14:paraId="5EC88C08" w14:textId="77777777" w:rsidR="000F4CA3" w:rsidRPr="00D36A1B" w:rsidRDefault="00BD529D" w:rsidP="00A97F5C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 xml:space="preserve"> Process payroll within the timeframe specified in the agency’s policy.</w:t>
            </w:r>
          </w:p>
          <w:p w14:paraId="4EB0F016" w14:textId="15C00C3C" w:rsidR="00BD529D" w:rsidRPr="00D36A1B" w:rsidRDefault="00BD529D" w:rsidP="00A97F5C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Allocate payroll t</w:t>
            </w:r>
            <w:r w:rsidR="00025207" w:rsidRPr="00D36A1B">
              <w:rPr>
                <w:sz w:val="18"/>
                <w:szCs w:val="18"/>
              </w:rPr>
              <w:t>o the correct program/cost cent</w:t>
            </w:r>
            <w:r w:rsidR="00D07A34">
              <w:rPr>
                <w:sz w:val="18"/>
                <w:szCs w:val="18"/>
              </w:rPr>
              <w:t>er</w:t>
            </w:r>
            <w:r w:rsidR="00025207" w:rsidRPr="00D36A1B">
              <w:rPr>
                <w:sz w:val="18"/>
                <w:szCs w:val="18"/>
              </w:rPr>
              <w:t xml:space="preserve"> and/or </w:t>
            </w:r>
            <w:r w:rsidRPr="00D36A1B">
              <w:rPr>
                <w:sz w:val="18"/>
                <w:szCs w:val="18"/>
              </w:rPr>
              <w:t>funding source.</w:t>
            </w:r>
          </w:p>
        </w:tc>
        <w:tc>
          <w:tcPr>
            <w:tcW w:w="0" w:type="auto"/>
          </w:tcPr>
          <w:p w14:paraId="74F76C62" w14:textId="77777777" w:rsidR="007D7318" w:rsidRPr="00D36A1B" w:rsidRDefault="007D7318" w:rsidP="007D7318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Accumulate 60 days of operating cash reserve at year-end to ensure continuity of payments prior to receiving the reimbursement funds from DPH.</w:t>
            </w:r>
          </w:p>
          <w:p w14:paraId="5305D71F" w14:textId="77777777" w:rsidR="000F4CA3" w:rsidRPr="00D36A1B" w:rsidRDefault="007D7318" w:rsidP="007D7318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Payroll processing procedure is adequately documented in the agency’s accounting policies and procedures.</w:t>
            </w:r>
          </w:p>
        </w:tc>
        <w:tc>
          <w:tcPr>
            <w:tcW w:w="0" w:type="auto"/>
          </w:tcPr>
          <w:p w14:paraId="221AB347" w14:textId="787FBBBE" w:rsidR="000F4CA3" w:rsidRPr="00D36A1B" w:rsidRDefault="004E54E5" w:rsidP="006F566D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Utilizing the standard template provided for tracking the subject Fiscal Intermediary requirements, document and compile any</w:t>
            </w:r>
            <w:r w:rsidR="006F566D" w:rsidRPr="00D36A1B">
              <w:rPr>
                <w:sz w:val="18"/>
                <w:szCs w:val="18"/>
              </w:rPr>
              <w:t xml:space="preserve"> employee complaints of improper or untimely payments</w:t>
            </w:r>
            <w:r w:rsidRPr="00D36A1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55C7DA9" w14:textId="77777777" w:rsidR="00D9768B" w:rsidRPr="00D36A1B" w:rsidRDefault="00D9768B" w:rsidP="000412B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BOCC will utilize a sample of payroll registry and the agency’s accounting policies and procedures to validate the process’ timeliness and accurate allocation to the program/cost center or funding source.</w:t>
            </w:r>
          </w:p>
          <w:p w14:paraId="784DB88C" w14:textId="77777777" w:rsidR="000F4CA3" w:rsidRPr="00D36A1B" w:rsidRDefault="00D9768B" w:rsidP="000412B2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D36A1B">
              <w:rPr>
                <w:sz w:val="18"/>
                <w:szCs w:val="18"/>
              </w:rPr>
              <w:t>BOCC will review the standard template maintained by the DPH program manager, and will record any documented issues as part of BOCC’s summary report.</w:t>
            </w:r>
          </w:p>
        </w:tc>
      </w:tr>
    </w:tbl>
    <w:p w14:paraId="1F6A1FDB" w14:textId="77777777" w:rsidR="00183119" w:rsidRDefault="00183119"/>
    <w:sectPr w:rsidR="00183119" w:rsidSect="0023559F">
      <w:headerReference w:type="default" r:id="rId7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9C58" w14:textId="77777777" w:rsidR="004D2D21" w:rsidRDefault="004D2D21" w:rsidP="00F6487B">
      <w:pPr>
        <w:spacing w:after="0" w:line="240" w:lineRule="auto"/>
      </w:pPr>
      <w:r>
        <w:separator/>
      </w:r>
    </w:p>
  </w:endnote>
  <w:endnote w:type="continuationSeparator" w:id="0">
    <w:p w14:paraId="0A924F87" w14:textId="77777777" w:rsidR="004D2D21" w:rsidRDefault="004D2D21" w:rsidP="00F6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D32B" w14:textId="77777777" w:rsidR="004D2D21" w:rsidRDefault="004D2D21" w:rsidP="00F6487B">
      <w:pPr>
        <w:spacing w:after="0" w:line="240" w:lineRule="auto"/>
      </w:pPr>
      <w:r>
        <w:separator/>
      </w:r>
    </w:p>
  </w:footnote>
  <w:footnote w:type="continuationSeparator" w:id="0">
    <w:p w14:paraId="2C0D08F3" w14:textId="77777777" w:rsidR="004D2D21" w:rsidRDefault="004D2D21" w:rsidP="00F6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C8B5" w14:textId="637A097A" w:rsidR="00F6487B" w:rsidRDefault="00F6487B" w:rsidP="00E2174E">
    <w:pPr>
      <w:pStyle w:val="Header"/>
      <w:tabs>
        <w:tab w:val="left" w:pos="680"/>
      </w:tabs>
    </w:pPr>
    <w:r>
      <w:tab/>
    </w:r>
    <w:r w:rsidR="00E2174E">
      <w:tab/>
    </w:r>
    <w:r w:rsidR="00E2174E">
      <w:tab/>
    </w:r>
    <w:r w:rsidR="00E2174E">
      <w:tab/>
    </w:r>
    <w:r w:rsidR="00E2174E">
      <w:tab/>
    </w:r>
    <w:r w:rsidR="00E2174E">
      <w:tab/>
    </w:r>
    <w:r w:rsidR="00E2174E">
      <w:tab/>
    </w:r>
    <w:r w:rsidR="00E2174E">
      <w:tab/>
      <w:t>Created: 9/1/2020</w:t>
    </w:r>
    <w:r w:rsidR="00E217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E17"/>
    <w:multiLevelType w:val="hybridMultilevel"/>
    <w:tmpl w:val="3946AC60"/>
    <w:lvl w:ilvl="0" w:tplc="6B24D0F4">
      <w:start w:val="1"/>
      <w:numFmt w:val="lowerLetter"/>
      <w:lvlText w:val="%1."/>
      <w:lvlJc w:val="left"/>
      <w:pPr>
        <w:ind w:left="144" w:hanging="13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21C2"/>
    <w:multiLevelType w:val="hybridMultilevel"/>
    <w:tmpl w:val="1B586602"/>
    <w:lvl w:ilvl="0" w:tplc="5100F0DA">
      <w:start w:val="1"/>
      <w:numFmt w:val="bullet"/>
      <w:lvlText w:val=""/>
      <w:lvlJc w:val="left"/>
      <w:pPr>
        <w:ind w:left="144" w:hanging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06B"/>
    <w:multiLevelType w:val="hybridMultilevel"/>
    <w:tmpl w:val="BC000316"/>
    <w:lvl w:ilvl="0" w:tplc="AEB6FA9E">
      <w:start w:val="1"/>
      <w:numFmt w:val="upperLetter"/>
      <w:suff w:val="space"/>
      <w:lvlText w:val="%1."/>
      <w:lvlJc w:val="left"/>
      <w:pPr>
        <w:ind w:left="72" w:hanging="5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726"/>
    <w:multiLevelType w:val="hybridMultilevel"/>
    <w:tmpl w:val="B060EFD6"/>
    <w:lvl w:ilvl="0" w:tplc="D220D31E">
      <w:start w:val="9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0EC7021"/>
    <w:multiLevelType w:val="hybridMultilevel"/>
    <w:tmpl w:val="FF10AFDA"/>
    <w:lvl w:ilvl="0" w:tplc="390001BC">
      <w:start w:val="1"/>
      <w:numFmt w:val="lowerLetter"/>
      <w:suff w:val="space"/>
      <w:lvlText w:val="%1."/>
      <w:lvlJc w:val="left"/>
      <w:pPr>
        <w:ind w:left="72" w:firstLine="0"/>
      </w:pPr>
      <w:rPr>
        <w:rFonts w:asciiTheme="minorHAnsi" w:eastAsiaTheme="minorHAnsi" w:hAnsiTheme="minorHAns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340"/>
    <w:multiLevelType w:val="hybridMultilevel"/>
    <w:tmpl w:val="783C0808"/>
    <w:lvl w:ilvl="0" w:tplc="5532DAE4">
      <w:start w:val="1"/>
      <w:numFmt w:val="upperLetter"/>
      <w:suff w:val="space"/>
      <w:lvlText w:val="%1."/>
      <w:lvlJc w:val="left"/>
      <w:pPr>
        <w:ind w:left="72" w:hanging="5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5F9233D"/>
    <w:multiLevelType w:val="hybridMultilevel"/>
    <w:tmpl w:val="9A868D84"/>
    <w:lvl w:ilvl="0" w:tplc="9938968C">
      <w:start w:val="1"/>
      <w:numFmt w:val="upperRoman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FCE"/>
    <w:multiLevelType w:val="hybridMultilevel"/>
    <w:tmpl w:val="6B2A8A76"/>
    <w:lvl w:ilvl="0" w:tplc="D63657D8">
      <w:start w:val="1"/>
      <w:numFmt w:val="lowerLetter"/>
      <w:suff w:val="space"/>
      <w:lvlText w:val="%1."/>
      <w:lvlJc w:val="left"/>
      <w:pPr>
        <w:ind w:left="144" w:hanging="13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5EF4"/>
    <w:multiLevelType w:val="hybridMultilevel"/>
    <w:tmpl w:val="1180AF54"/>
    <w:lvl w:ilvl="0" w:tplc="DCA2C9DE">
      <w:start w:val="9"/>
      <w:numFmt w:val="low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1CEE1549"/>
    <w:multiLevelType w:val="hybridMultilevel"/>
    <w:tmpl w:val="560461A8"/>
    <w:lvl w:ilvl="0" w:tplc="50C278C4">
      <w:start w:val="1"/>
      <w:numFmt w:val="low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1C88"/>
    <w:multiLevelType w:val="hybridMultilevel"/>
    <w:tmpl w:val="4BEA9E72"/>
    <w:lvl w:ilvl="0" w:tplc="FAE83E6A">
      <w:start w:val="1"/>
      <w:numFmt w:val="upp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D12B7"/>
    <w:multiLevelType w:val="hybridMultilevel"/>
    <w:tmpl w:val="3BA6D47C"/>
    <w:lvl w:ilvl="0" w:tplc="249E0434">
      <w:start w:val="1"/>
      <w:numFmt w:val="low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7A73"/>
    <w:multiLevelType w:val="hybridMultilevel"/>
    <w:tmpl w:val="06265500"/>
    <w:lvl w:ilvl="0" w:tplc="791A5ECE">
      <w:start w:val="1"/>
      <w:numFmt w:val="lowerRoman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29E4556F"/>
    <w:multiLevelType w:val="hybridMultilevel"/>
    <w:tmpl w:val="3E104B1C"/>
    <w:lvl w:ilvl="0" w:tplc="D090BB20">
      <w:start w:val="1"/>
      <w:numFmt w:val="upperRoman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5DCE"/>
    <w:multiLevelType w:val="hybridMultilevel"/>
    <w:tmpl w:val="45DA085C"/>
    <w:lvl w:ilvl="0" w:tplc="EA929C34">
      <w:start w:val="1"/>
      <w:numFmt w:val="upperRoman"/>
      <w:suff w:val="space"/>
      <w:lvlText w:val="%1."/>
      <w:lvlJc w:val="left"/>
      <w:pPr>
        <w:ind w:left="72" w:hanging="5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2BA9"/>
    <w:multiLevelType w:val="hybridMultilevel"/>
    <w:tmpl w:val="3BA6D47C"/>
    <w:lvl w:ilvl="0" w:tplc="249E0434">
      <w:start w:val="1"/>
      <w:numFmt w:val="low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51E"/>
    <w:multiLevelType w:val="hybridMultilevel"/>
    <w:tmpl w:val="A70879A8"/>
    <w:lvl w:ilvl="0" w:tplc="AB2EA8A0">
      <w:start w:val="1"/>
      <w:numFmt w:val="lowerRoman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41B6"/>
    <w:multiLevelType w:val="hybridMultilevel"/>
    <w:tmpl w:val="3646964A"/>
    <w:lvl w:ilvl="0" w:tplc="2F40101C">
      <w:start w:val="1"/>
      <w:numFmt w:val="upp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11CD5"/>
    <w:multiLevelType w:val="hybridMultilevel"/>
    <w:tmpl w:val="903E34BC"/>
    <w:lvl w:ilvl="0" w:tplc="5100F0DA">
      <w:start w:val="1"/>
      <w:numFmt w:val="bullet"/>
      <w:lvlText w:val=""/>
      <w:lvlJc w:val="left"/>
      <w:pPr>
        <w:ind w:left="144" w:hanging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6BDD"/>
    <w:multiLevelType w:val="hybridMultilevel"/>
    <w:tmpl w:val="06265500"/>
    <w:lvl w:ilvl="0" w:tplc="791A5ECE">
      <w:start w:val="1"/>
      <w:numFmt w:val="lowerRoman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33B444F7"/>
    <w:multiLevelType w:val="hybridMultilevel"/>
    <w:tmpl w:val="04C4220C"/>
    <w:lvl w:ilvl="0" w:tplc="821A887A">
      <w:start w:val="1"/>
      <w:numFmt w:val="upperRoman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555A"/>
    <w:multiLevelType w:val="hybridMultilevel"/>
    <w:tmpl w:val="06181A6A"/>
    <w:lvl w:ilvl="0" w:tplc="33083A88">
      <w:start w:val="1"/>
      <w:numFmt w:val="lowerLetter"/>
      <w:suff w:val="space"/>
      <w:lvlText w:val="%1."/>
      <w:lvlJc w:val="left"/>
      <w:pPr>
        <w:ind w:left="144" w:hanging="13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769EF"/>
    <w:multiLevelType w:val="hybridMultilevel"/>
    <w:tmpl w:val="AC4EDC22"/>
    <w:lvl w:ilvl="0" w:tplc="7FDCAECC">
      <w:start w:val="1"/>
      <w:numFmt w:val="upperRoman"/>
      <w:suff w:val="space"/>
      <w:lvlText w:val="%1."/>
      <w:lvlJc w:val="left"/>
      <w:pPr>
        <w:ind w:left="144" w:hanging="13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54738"/>
    <w:multiLevelType w:val="hybridMultilevel"/>
    <w:tmpl w:val="54EEC042"/>
    <w:lvl w:ilvl="0" w:tplc="5296AC10">
      <w:start w:val="1"/>
      <w:numFmt w:val="upp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C3406"/>
    <w:multiLevelType w:val="hybridMultilevel"/>
    <w:tmpl w:val="2364366C"/>
    <w:lvl w:ilvl="0" w:tplc="7BC226DC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529F"/>
    <w:multiLevelType w:val="hybridMultilevel"/>
    <w:tmpl w:val="49442EB8"/>
    <w:lvl w:ilvl="0" w:tplc="5100F0DA">
      <w:start w:val="1"/>
      <w:numFmt w:val="bullet"/>
      <w:lvlText w:val=""/>
      <w:lvlJc w:val="left"/>
      <w:pPr>
        <w:ind w:left="144" w:hanging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127E1"/>
    <w:multiLevelType w:val="hybridMultilevel"/>
    <w:tmpl w:val="376EE7C2"/>
    <w:lvl w:ilvl="0" w:tplc="B1385B2E">
      <w:start w:val="1"/>
      <w:numFmt w:val="upp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F75F5"/>
    <w:multiLevelType w:val="hybridMultilevel"/>
    <w:tmpl w:val="F15A97CA"/>
    <w:lvl w:ilvl="0" w:tplc="97AE8C7C">
      <w:start w:val="1"/>
      <w:numFmt w:val="low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60B7"/>
    <w:multiLevelType w:val="hybridMultilevel"/>
    <w:tmpl w:val="7840968A"/>
    <w:lvl w:ilvl="0" w:tplc="9D5438BA">
      <w:start w:val="1"/>
      <w:numFmt w:val="lowerRoman"/>
      <w:suff w:val="space"/>
      <w:lvlText w:val="%1."/>
      <w:lvlJc w:val="left"/>
      <w:pPr>
        <w:ind w:left="72" w:hanging="5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2459"/>
    <w:multiLevelType w:val="hybridMultilevel"/>
    <w:tmpl w:val="D190040C"/>
    <w:lvl w:ilvl="0" w:tplc="8BEC4040">
      <w:start w:val="1"/>
      <w:numFmt w:val="low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A0006D6"/>
    <w:multiLevelType w:val="hybridMultilevel"/>
    <w:tmpl w:val="450403D2"/>
    <w:lvl w:ilvl="0" w:tplc="0BC62F2E">
      <w:start w:val="1"/>
      <w:numFmt w:val="lowerRoman"/>
      <w:suff w:val="space"/>
      <w:lvlText w:val="%1."/>
      <w:lvlJc w:val="left"/>
      <w:pPr>
        <w:ind w:left="72" w:hanging="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5DDB6BA1"/>
    <w:multiLevelType w:val="hybridMultilevel"/>
    <w:tmpl w:val="B8FC1E48"/>
    <w:lvl w:ilvl="0" w:tplc="BEA66128">
      <w:start w:val="1"/>
      <w:numFmt w:val="bullet"/>
      <w:lvlText w:val="-"/>
      <w:lvlJc w:val="left"/>
      <w:pPr>
        <w:ind w:left="5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 w15:restartNumberingAfterBreak="0">
    <w:nsid w:val="6750435F"/>
    <w:multiLevelType w:val="hybridMultilevel"/>
    <w:tmpl w:val="B4B2B1C6"/>
    <w:lvl w:ilvl="0" w:tplc="04090013">
      <w:start w:val="1"/>
      <w:numFmt w:val="upperRoman"/>
      <w:lvlText w:val="%1."/>
      <w:lvlJc w:val="righ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04AB"/>
    <w:multiLevelType w:val="hybridMultilevel"/>
    <w:tmpl w:val="45DA085C"/>
    <w:lvl w:ilvl="0" w:tplc="EA929C34">
      <w:start w:val="1"/>
      <w:numFmt w:val="upperRoman"/>
      <w:suff w:val="space"/>
      <w:lvlText w:val="%1."/>
      <w:lvlJc w:val="left"/>
      <w:pPr>
        <w:ind w:left="72" w:hanging="5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327B0"/>
    <w:multiLevelType w:val="hybridMultilevel"/>
    <w:tmpl w:val="49B2BF8C"/>
    <w:lvl w:ilvl="0" w:tplc="1898C642">
      <w:start w:val="1"/>
      <w:numFmt w:val="upperLetter"/>
      <w:suff w:val="space"/>
      <w:lvlText w:val="%1."/>
      <w:lvlJc w:val="left"/>
      <w:pPr>
        <w:ind w:left="144" w:hanging="13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20ED6"/>
    <w:multiLevelType w:val="hybridMultilevel"/>
    <w:tmpl w:val="9A868D84"/>
    <w:lvl w:ilvl="0" w:tplc="9938968C">
      <w:start w:val="1"/>
      <w:numFmt w:val="upperRoman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538F"/>
    <w:multiLevelType w:val="hybridMultilevel"/>
    <w:tmpl w:val="9782E09A"/>
    <w:lvl w:ilvl="0" w:tplc="5100F0DA">
      <w:start w:val="1"/>
      <w:numFmt w:val="bullet"/>
      <w:lvlText w:val=""/>
      <w:lvlJc w:val="left"/>
      <w:pPr>
        <w:ind w:left="144" w:hanging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807BE"/>
    <w:multiLevelType w:val="hybridMultilevel"/>
    <w:tmpl w:val="1AC2D07C"/>
    <w:lvl w:ilvl="0" w:tplc="B2866482">
      <w:start w:val="9"/>
      <w:numFmt w:val="upperLetter"/>
      <w:suff w:val="space"/>
      <w:lvlText w:val="%1."/>
      <w:lvlJc w:val="left"/>
      <w:pPr>
        <w:ind w:left="72" w:hanging="5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755C1894"/>
    <w:multiLevelType w:val="hybridMultilevel"/>
    <w:tmpl w:val="5B60F214"/>
    <w:lvl w:ilvl="0" w:tplc="5100F0DA">
      <w:start w:val="1"/>
      <w:numFmt w:val="bullet"/>
      <w:lvlText w:val=""/>
      <w:lvlJc w:val="left"/>
      <w:pPr>
        <w:ind w:left="144" w:hanging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1192"/>
    <w:multiLevelType w:val="hybridMultilevel"/>
    <w:tmpl w:val="16029C72"/>
    <w:lvl w:ilvl="0" w:tplc="5B6004F8">
      <w:start w:val="1"/>
      <w:numFmt w:val="lowerRoman"/>
      <w:suff w:val="space"/>
      <w:lvlText w:val="%1."/>
      <w:lvlJc w:val="righ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37158"/>
    <w:multiLevelType w:val="hybridMultilevel"/>
    <w:tmpl w:val="16029C72"/>
    <w:lvl w:ilvl="0" w:tplc="5B6004F8">
      <w:start w:val="1"/>
      <w:numFmt w:val="lowerRoman"/>
      <w:suff w:val="space"/>
      <w:lvlText w:val="%1."/>
      <w:lvlJc w:val="righ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4"/>
  </w:num>
  <w:num w:numId="4">
    <w:abstractNumId w:val="36"/>
  </w:num>
  <w:num w:numId="5">
    <w:abstractNumId w:val="18"/>
  </w:num>
  <w:num w:numId="6">
    <w:abstractNumId w:val="25"/>
  </w:num>
  <w:num w:numId="7">
    <w:abstractNumId w:val="1"/>
  </w:num>
  <w:num w:numId="8">
    <w:abstractNumId w:val="31"/>
  </w:num>
  <w:num w:numId="9">
    <w:abstractNumId w:val="15"/>
  </w:num>
  <w:num w:numId="10">
    <w:abstractNumId w:val="11"/>
  </w:num>
  <w:num w:numId="11">
    <w:abstractNumId w:val="40"/>
  </w:num>
  <w:num w:numId="12">
    <w:abstractNumId w:val="6"/>
  </w:num>
  <w:num w:numId="13">
    <w:abstractNumId w:val="23"/>
  </w:num>
  <w:num w:numId="14">
    <w:abstractNumId w:val="0"/>
  </w:num>
  <w:num w:numId="15">
    <w:abstractNumId w:val="19"/>
  </w:num>
  <w:num w:numId="16">
    <w:abstractNumId w:val="10"/>
  </w:num>
  <w:num w:numId="17">
    <w:abstractNumId w:val="35"/>
  </w:num>
  <w:num w:numId="18">
    <w:abstractNumId w:val="12"/>
  </w:num>
  <w:num w:numId="19">
    <w:abstractNumId w:val="29"/>
  </w:num>
  <w:num w:numId="20">
    <w:abstractNumId w:val="3"/>
  </w:num>
  <w:num w:numId="21">
    <w:abstractNumId w:val="26"/>
  </w:num>
  <w:num w:numId="22">
    <w:abstractNumId w:val="20"/>
  </w:num>
  <w:num w:numId="23">
    <w:abstractNumId w:val="9"/>
  </w:num>
  <w:num w:numId="24">
    <w:abstractNumId w:val="27"/>
  </w:num>
  <w:num w:numId="25">
    <w:abstractNumId w:val="2"/>
  </w:num>
  <w:num w:numId="26">
    <w:abstractNumId w:val="13"/>
  </w:num>
  <w:num w:numId="27">
    <w:abstractNumId w:val="17"/>
  </w:num>
  <w:num w:numId="28">
    <w:abstractNumId w:val="22"/>
  </w:num>
  <w:num w:numId="29">
    <w:abstractNumId w:val="21"/>
  </w:num>
  <w:num w:numId="30">
    <w:abstractNumId w:val="34"/>
  </w:num>
  <w:num w:numId="31">
    <w:abstractNumId w:val="14"/>
  </w:num>
  <w:num w:numId="32">
    <w:abstractNumId w:val="16"/>
  </w:num>
  <w:num w:numId="33">
    <w:abstractNumId w:val="28"/>
  </w:num>
  <w:num w:numId="34">
    <w:abstractNumId w:val="7"/>
  </w:num>
  <w:num w:numId="35">
    <w:abstractNumId w:val="39"/>
  </w:num>
  <w:num w:numId="36">
    <w:abstractNumId w:val="8"/>
  </w:num>
  <w:num w:numId="37">
    <w:abstractNumId w:val="5"/>
  </w:num>
  <w:num w:numId="38">
    <w:abstractNumId w:val="33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ED"/>
    <w:rsid w:val="00015ADA"/>
    <w:rsid w:val="00025207"/>
    <w:rsid w:val="00035991"/>
    <w:rsid w:val="000412B2"/>
    <w:rsid w:val="00041F4B"/>
    <w:rsid w:val="000656CE"/>
    <w:rsid w:val="00071E91"/>
    <w:rsid w:val="00076CDF"/>
    <w:rsid w:val="0007787A"/>
    <w:rsid w:val="000B5FB4"/>
    <w:rsid w:val="000F333D"/>
    <w:rsid w:val="000F4CA3"/>
    <w:rsid w:val="000F63EF"/>
    <w:rsid w:val="001165B0"/>
    <w:rsid w:val="00182061"/>
    <w:rsid w:val="00183119"/>
    <w:rsid w:val="001E4E1D"/>
    <w:rsid w:val="002000DA"/>
    <w:rsid w:val="00217C25"/>
    <w:rsid w:val="0023559F"/>
    <w:rsid w:val="0024524F"/>
    <w:rsid w:val="00257455"/>
    <w:rsid w:val="00257ED2"/>
    <w:rsid w:val="002654DC"/>
    <w:rsid w:val="002C3D98"/>
    <w:rsid w:val="003202DB"/>
    <w:rsid w:val="00330162"/>
    <w:rsid w:val="003717E0"/>
    <w:rsid w:val="003756CA"/>
    <w:rsid w:val="00381515"/>
    <w:rsid w:val="003C1E2A"/>
    <w:rsid w:val="003D700C"/>
    <w:rsid w:val="003E7743"/>
    <w:rsid w:val="00405E71"/>
    <w:rsid w:val="00414504"/>
    <w:rsid w:val="00421486"/>
    <w:rsid w:val="00450B81"/>
    <w:rsid w:val="00487687"/>
    <w:rsid w:val="004876C7"/>
    <w:rsid w:val="004A2D36"/>
    <w:rsid w:val="004A7035"/>
    <w:rsid w:val="004B2A43"/>
    <w:rsid w:val="004C5660"/>
    <w:rsid w:val="004D2D21"/>
    <w:rsid w:val="004E43C9"/>
    <w:rsid w:val="004E54E5"/>
    <w:rsid w:val="004E7F9D"/>
    <w:rsid w:val="004F2C63"/>
    <w:rsid w:val="00512F16"/>
    <w:rsid w:val="00521D9A"/>
    <w:rsid w:val="00546706"/>
    <w:rsid w:val="00572F1E"/>
    <w:rsid w:val="00577C66"/>
    <w:rsid w:val="00580004"/>
    <w:rsid w:val="00583A9C"/>
    <w:rsid w:val="005C0932"/>
    <w:rsid w:val="005C4FD5"/>
    <w:rsid w:val="005D11DB"/>
    <w:rsid w:val="005E2D99"/>
    <w:rsid w:val="00622A9D"/>
    <w:rsid w:val="00660BDD"/>
    <w:rsid w:val="00675C88"/>
    <w:rsid w:val="00686A47"/>
    <w:rsid w:val="006E5821"/>
    <w:rsid w:val="006E6F36"/>
    <w:rsid w:val="006F566D"/>
    <w:rsid w:val="006F6C3F"/>
    <w:rsid w:val="00706513"/>
    <w:rsid w:val="0071043A"/>
    <w:rsid w:val="00711A58"/>
    <w:rsid w:val="00721059"/>
    <w:rsid w:val="00753568"/>
    <w:rsid w:val="00754898"/>
    <w:rsid w:val="0075614F"/>
    <w:rsid w:val="00765224"/>
    <w:rsid w:val="007927CC"/>
    <w:rsid w:val="007A2E95"/>
    <w:rsid w:val="007B64EB"/>
    <w:rsid w:val="007D7318"/>
    <w:rsid w:val="007F1867"/>
    <w:rsid w:val="00801A0B"/>
    <w:rsid w:val="008058ED"/>
    <w:rsid w:val="008142CD"/>
    <w:rsid w:val="008220A2"/>
    <w:rsid w:val="008501D9"/>
    <w:rsid w:val="008506B1"/>
    <w:rsid w:val="00860F7D"/>
    <w:rsid w:val="00863CB4"/>
    <w:rsid w:val="00866EDC"/>
    <w:rsid w:val="008D27E6"/>
    <w:rsid w:val="008E553A"/>
    <w:rsid w:val="008F75B0"/>
    <w:rsid w:val="008F7830"/>
    <w:rsid w:val="0092674A"/>
    <w:rsid w:val="00947ABC"/>
    <w:rsid w:val="00951DE0"/>
    <w:rsid w:val="00976BF6"/>
    <w:rsid w:val="00980F29"/>
    <w:rsid w:val="009A488B"/>
    <w:rsid w:val="009F68F6"/>
    <w:rsid w:val="009F6B0B"/>
    <w:rsid w:val="009F6C10"/>
    <w:rsid w:val="00A32689"/>
    <w:rsid w:val="00A3794E"/>
    <w:rsid w:val="00A44DBB"/>
    <w:rsid w:val="00A6753E"/>
    <w:rsid w:val="00A749BF"/>
    <w:rsid w:val="00A8341F"/>
    <w:rsid w:val="00A95710"/>
    <w:rsid w:val="00A97F5C"/>
    <w:rsid w:val="00AB0E14"/>
    <w:rsid w:val="00AC4656"/>
    <w:rsid w:val="00AD758D"/>
    <w:rsid w:val="00AE3617"/>
    <w:rsid w:val="00B10F10"/>
    <w:rsid w:val="00B21DAC"/>
    <w:rsid w:val="00B5199D"/>
    <w:rsid w:val="00B53CC0"/>
    <w:rsid w:val="00B628AA"/>
    <w:rsid w:val="00B80E2C"/>
    <w:rsid w:val="00B83F4E"/>
    <w:rsid w:val="00B873F9"/>
    <w:rsid w:val="00BA00E2"/>
    <w:rsid w:val="00BB39BD"/>
    <w:rsid w:val="00BB6251"/>
    <w:rsid w:val="00BC7DB0"/>
    <w:rsid w:val="00BD3342"/>
    <w:rsid w:val="00BD529D"/>
    <w:rsid w:val="00BF4204"/>
    <w:rsid w:val="00C22B4E"/>
    <w:rsid w:val="00C55846"/>
    <w:rsid w:val="00C82A08"/>
    <w:rsid w:val="00CC2F0E"/>
    <w:rsid w:val="00CC7714"/>
    <w:rsid w:val="00CD2B4E"/>
    <w:rsid w:val="00CE525D"/>
    <w:rsid w:val="00D05CE9"/>
    <w:rsid w:val="00D07A34"/>
    <w:rsid w:val="00D25055"/>
    <w:rsid w:val="00D36A1B"/>
    <w:rsid w:val="00D5749A"/>
    <w:rsid w:val="00D57647"/>
    <w:rsid w:val="00D9768B"/>
    <w:rsid w:val="00DA15A3"/>
    <w:rsid w:val="00DB3C0E"/>
    <w:rsid w:val="00DD5A20"/>
    <w:rsid w:val="00E07147"/>
    <w:rsid w:val="00E0796C"/>
    <w:rsid w:val="00E2174E"/>
    <w:rsid w:val="00E31EFC"/>
    <w:rsid w:val="00E35315"/>
    <w:rsid w:val="00E41158"/>
    <w:rsid w:val="00E6774F"/>
    <w:rsid w:val="00E804F8"/>
    <w:rsid w:val="00E84CAA"/>
    <w:rsid w:val="00EB1333"/>
    <w:rsid w:val="00EC029A"/>
    <w:rsid w:val="00EF15C7"/>
    <w:rsid w:val="00EF3064"/>
    <w:rsid w:val="00EF4C17"/>
    <w:rsid w:val="00F034B2"/>
    <w:rsid w:val="00F22AA3"/>
    <w:rsid w:val="00F26E8F"/>
    <w:rsid w:val="00F6487B"/>
    <w:rsid w:val="00F70A8D"/>
    <w:rsid w:val="00F75B19"/>
    <w:rsid w:val="00F76036"/>
    <w:rsid w:val="00F87DB0"/>
    <w:rsid w:val="00FA6923"/>
    <w:rsid w:val="00FB3B15"/>
    <w:rsid w:val="00FC0DF2"/>
    <w:rsid w:val="00FE7E12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9A8E"/>
  <w15:chartTrackingRefBased/>
  <w15:docId w15:val="{8AB0A6FB-7500-4BD5-80BF-2B9D698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7B"/>
  </w:style>
  <w:style w:type="paragraph" w:styleId="Footer">
    <w:name w:val="footer"/>
    <w:basedOn w:val="Normal"/>
    <w:link w:val="FooterChar"/>
    <w:uiPriority w:val="99"/>
    <w:unhideWhenUsed/>
    <w:rsid w:val="00F6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7B"/>
  </w:style>
  <w:style w:type="paragraph" w:styleId="BalloonText">
    <w:name w:val="Balloon Text"/>
    <w:basedOn w:val="Normal"/>
    <w:link w:val="BalloonTextChar"/>
    <w:uiPriority w:val="99"/>
    <w:semiHidden/>
    <w:unhideWhenUsed/>
    <w:rsid w:val="0002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WASIM SAMARA</dc:creator>
  <cp:keywords/>
  <dc:description/>
  <cp:lastModifiedBy>Elam, Margaret (DPH)</cp:lastModifiedBy>
  <cp:revision>4</cp:revision>
  <cp:lastPrinted>2019-09-11T18:40:00Z</cp:lastPrinted>
  <dcterms:created xsi:type="dcterms:W3CDTF">2020-09-01T20:56:00Z</dcterms:created>
  <dcterms:modified xsi:type="dcterms:W3CDTF">2020-09-02T18:26:00Z</dcterms:modified>
</cp:coreProperties>
</file>