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CDF83" w14:textId="77777777" w:rsidR="00A040AD" w:rsidRPr="00B916D3" w:rsidRDefault="00A040AD" w:rsidP="00D82A94">
      <w:pPr>
        <w:pStyle w:val="Default"/>
        <w:rPr>
          <w:rFonts w:asciiTheme="minorHAnsi" w:hAnsiTheme="minorHAnsi"/>
          <w:b/>
        </w:rPr>
      </w:pPr>
      <w:r w:rsidRPr="00B916D3">
        <w:rPr>
          <w:rFonts w:asciiTheme="minorHAnsi" w:hAnsiTheme="minorHAnsi"/>
          <w:b/>
        </w:rPr>
        <w:t>INDICATION</w:t>
      </w:r>
    </w:p>
    <w:p w14:paraId="4B578433" w14:textId="77777777" w:rsidR="00A040AD" w:rsidRPr="00B916D3" w:rsidRDefault="00A040AD" w:rsidP="0092138D">
      <w:pPr>
        <w:pStyle w:val="Default"/>
        <w:numPr>
          <w:ilvl w:val="0"/>
          <w:numId w:val="2"/>
        </w:numPr>
        <w:rPr>
          <w:rFonts w:asciiTheme="minorHAnsi" w:hAnsiTheme="minorHAnsi"/>
        </w:rPr>
      </w:pPr>
      <w:r w:rsidRPr="00B916D3">
        <w:rPr>
          <w:rFonts w:asciiTheme="minorHAnsi" w:hAnsiTheme="minorHAnsi"/>
        </w:rPr>
        <w:t>Suspected or Obvious extremity fracture.</w:t>
      </w:r>
    </w:p>
    <w:p w14:paraId="777769AC" w14:textId="77777777" w:rsidR="00D82A94" w:rsidRPr="00B916D3" w:rsidRDefault="00D82A94" w:rsidP="0092138D">
      <w:pPr>
        <w:pStyle w:val="Default"/>
        <w:numPr>
          <w:ilvl w:val="0"/>
          <w:numId w:val="2"/>
        </w:numPr>
        <w:rPr>
          <w:rFonts w:asciiTheme="minorHAnsi" w:hAnsiTheme="minorHAnsi"/>
        </w:rPr>
      </w:pPr>
      <w:r w:rsidRPr="00B916D3">
        <w:rPr>
          <w:rFonts w:asciiTheme="minorHAnsi" w:hAnsiTheme="minorHAnsi"/>
        </w:rPr>
        <w:t xml:space="preserve">Appropriate splinting can reduce or minimize dislocation, motion, hemorrhage, swelling, and pain. </w:t>
      </w:r>
    </w:p>
    <w:p w14:paraId="3B1DE0D3" w14:textId="77777777" w:rsidR="00A040AD" w:rsidRPr="00B916D3" w:rsidRDefault="00A040AD" w:rsidP="00D82A94">
      <w:pPr>
        <w:pStyle w:val="Default"/>
        <w:rPr>
          <w:rFonts w:asciiTheme="minorHAnsi" w:hAnsiTheme="minorHAnsi"/>
          <w:b/>
          <w:bCs/>
        </w:rPr>
      </w:pPr>
    </w:p>
    <w:p w14:paraId="0446C384" w14:textId="77777777" w:rsidR="00D82A94" w:rsidRPr="00B916D3" w:rsidRDefault="00A040AD" w:rsidP="00D82A94">
      <w:pPr>
        <w:pStyle w:val="Default"/>
        <w:rPr>
          <w:rFonts w:asciiTheme="minorHAnsi" w:hAnsiTheme="minorHAnsi"/>
        </w:rPr>
      </w:pPr>
      <w:r w:rsidRPr="00B916D3">
        <w:rPr>
          <w:rFonts w:asciiTheme="minorHAnsi" w:hAnsiTheme="minorHAnsi"/>
          <w:b/>
          <w:bCs/>
        </w:rPr>
        <w:t>PROCEDURE</w:t>
      </w:r>
      <w:r w:rsidR="00D82A94" w:rsidRPr="00B916D3">
        <w:rPr>
          <w:rFonts w:asciiTheme="minorHAnsi" w:hAnsiTheme="minorHAnsi"/>
          <w:b/>
          <w:bCs/>
        </w:rPr>
        <w:t xml:space="preserve"> </w:t>
      </w:r>
    </w:p>
    <w:p w14:paraId="29C74FA8"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Remove or cut away clothing. </w:t>
      </w:r>
    </w:p>
    <w:p w14:paraId="5E47BC6B"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Dress and bandage significant wounds using a sterile dressing. </w:t>
      </w:r>
    </w:p>
    <w:p w14:paraId="01142D4A"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Check CMS distal to injury before and after splinting. </w:t>
      </w:r>
    </w:p>
    <w:p w14:paraId="7E1A303E"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Immobilize joints above and below injured bones. </w:t>
      </w:r>
    </w:p>
    <w:p w14:paraId="4DB9BBDA"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For joint injuries, leave in place and immobilize the bone above and below the joint </w:t>
      </w:r>
    </w:p>
    <w:p w14:paraId="69686CD7" w14:textId="77777777" w:rsidR="00D82A94" w:rsidRPr="00B916D3" w:rsidRDefault="00B8768A" w:rsidP="0092138D">
      <w:pPr>
        <w:pStyle w:val="Default"/>
        <w:numPr>
          <w:ilvl w:val="0"/>
          <w:numId w:val="1"/>
        </w:numPr>
        <w:rPr>
          <w:rFonts w:asciiTheme="minorHAnsi" w:hAnsiTheme="minorHAnsi"/>
        </w:rPr>
      </w:pPr>
      <w:r w:rsidRPr="00B916D3">
        <w:rPr>
          <w:rFonts w:asciiTheme="minorHAnsi" w:hAnsiTheme="minorHAnsi"/>
          <w:b/>
          <w:i/>
          <w:u w:val="single"/>
        </w:rPr>
        <w:t>If extremity is pulseless</w:t>
      </w:r>
      <w:r w:rsidRPr="00B916D3">
        <w:rPr>
          <w:rFonts w:asciiTheme="minorHAnsi" w:hAnsiTheme="minorHAnsi"/>
        </w:rPr>
        <w:t xml:space="preserve"> i</w:t>
      </w:r>
      <w:r w:rsidR="00D82A94" w:rsidRPr="00B916D3">
        <w:rPr>
          <w:rFonts w:asciiTheme="minorHAnsi" w:hAnsiTheme="minorHAnsi"/>
        </w:rPr>
        <w:t xml:space="preserve">t may be necessary on a mid-shaft (center 1/3) fracture to realign angulated injuries. </w:t>
      </w:r>
    </w:p>
    <w:p w14:paraId="66245B5B"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Pad splints well. </w:t>
      </w:r>
    </w:p>
    <w:p w14:paraId="1BD19770"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Elevate extremity after splinting, if possible. </w:t>
      </w:r>
    </w:p>
    <w:p w14:paraId="52AB744F" w14:textId="77777777" w:rsidR="00D82A94" w:rsidRPr="00B916D3" w:rsidRDefault="00D82A94" w:rsidP="0092138D">
      <w:pPr>
        <w:pStyle w:val="Default"/>
        <w:numPr>
          <w:ilvl w:val="0"/>
          <w:numId w:val="1"/>
        </w:numPr>
        <w:rPr>
          <w:rFonts w:asciiTheme="minorHAnsi" w:hAnsiTheme="minorHAnsi"/>
        </w:rPr>
      </w:pPr>
      <w:r w:rsidRPr="00B916D3">
        <w:rPr>
          <w:rFonts w:asciiTheme="minorHAnsi" w:hAnsiTheme="minorHAnsi"/>
        </w:rPr>
        <w:t xml:space="preserve">Monitor CMS after splinting. </w:t>
      </w:r>
    </w:p>
    <w:p w14:paraId="1699E5A0" w14:textId="77777777" w:rsidR="00A040AD" w:rsidRPr="00B916D3" w:rsidRDefault="00A040AD" w:rsidP="00D82A94">
      <w:pPr>
        <w:pStyle w:val="Default"/>
        <w:rPr>
          <w:rFonts w:asciiTheme="minorHAnsi" w:hAnsiTheme="minorHAnsi"/>
          <w:b/>
          <w:bCs/>
        </w:rPr>
      </w:pPr>
    </w:p>
    <w:p w14:paraId="290AE652" w14:textId="77777777" w:rsidR="00D82A94" w:rsidRPr="00B916D3" w:rsidRDefault="00D82A94" w:rsidP="00D82A94">
      <w:pPr>
        <w:pStyle w:val="Default"/>
        <w:rPr>
          <w:rFonts w:asciiTheme="minorHAnsi" w:hAnsiTheme="minorHAnsi"/>
        </w:rPr>
      </w:pPr>
      <w:r w:rsidRPr="00B916D3">
        <w:rPr>
          <w:rFonts w:asciiTheme="minorHAnsi" w:hAnsiTheme="minorHAnsi"/>
          <w:b/>
          <w:bCs/>
        </w:rPr>
        <w:t xml:space="preserve">GUIDELINES FOR SPECIFIC INJURIES </w:t>
      </w:r>
    </w:p>
    <w:p w14:paraId="22329E4C" w14:textId="77777777" w:rsidR="00D82A94" w:rsidRPr="00B916D3" w:rsidRDefault="00D82A94" w:rsidP="00D82A94">
      <w:pPr>
        <w:pStyle w:val="Default"/>
        <w:rPr>
          <w:rFonts w:asciiTheme="minorHAnsi" w:hAnsiTheme="minorHAnsi"/>
        </w:rPr>
      </w:pPr>
      <w:r w:rsidRPr="00B916D3">
        <w:rPr>
          <w:rFonts w:asciiTheme="minorHAnsi" w:hAnsiTheme="minorHAnsi"/>
          <w:b/>
          <w:bCs/>
        </w:rPr>
        <w:t xml:space="preserve">Realignment of Long Bone Fractures </w:t>
      </w:r>
    </w:p>
    <w:p w14:paraId="0AEFA088" w14:textId="77777777" w:rsidR="00D82A94" w:rsidRPr="00B916D3" w:rsidRDefault="00A040AD" w:rsidP="0092138D">
      <w:pPr>
        <w:pStyle w:val="Default"/>
        <w:numPr>
          <w:ilvl w:val="0"/>
          <w:numId w:val="3"/>
        </w:numPr>
        <w:rPr>
          <w:rFonts w:asciiTheme="minorHAnsi" w:hAnsiTheme="minorHAnsi"/>
        </w:rPr>
      </w:pPr>
      <w:r w:rsidRPr="00B916D3">
        <w:rPr>
          <w:rFonts w:asciiTheme="minorHAnsi" w:hAnsiTheme="minorHAnsi"/>
          <w:b/>
          <w:i/>
          <w:u w:val="single"/>
        </w:rPr>
        <w:t>If extremity is pulseless</w:t>
      </w:r>
      <w:r w:rsidRPr="00B916D3">
        <w:rPr>
          <w:rFonts w:asciiTheme="minorHAnsi" w:hAnsiTheme="minorHAnsi"/>
        </w:rPr>
        <w:t xml:space="preserve"> a</w:t>
      </w:r>
      <w:r w:rsidR="00D82A94" w:rsidRPr="00B916D3">
        <w:rPr>
          <w:rFonts w:asciiTheme="minorHAnsi" w:hAnsiTheme="minorHAnsi"/>
        </w:rPr>
        <w:t xml:space="preserve">ttempt to realign (open or closed) long bones that are angulated in the middle 1/3 then splint. If resistance to movement is encountered or pain is too severe, discontinue realignment efforts and immobilize in place. </w:t>
      </w:r>
    </w:p>
    <w:p w14:paraId="25EE297F" w14:textId="77777777" w:rsidR="00D82A94" w:rsidRPr="00B916D3" w:rsidRDefault="00D82A94" w:rsidP="0092138D">
      <w:pPr>
        <w:pStyle w:val="Default"/>
        <w:numPr>
          <w:ilvl w:val="0"/>
          <w:numId w:val="3"/>
        </w:numPr>
        <w:rPr>
          <w:rFonts w:asciiTheme="minorHAnsi" w:hAnsiTheme="minorHAnsi"/>
        </w:rPr>
      </w:pPr>
      <w:r w:rsidRPr="00B916D3">
        <w:rPr>
          <w:rFonts w:asciiTheme="minorHAnsi" w:hAnsiTheme="minorHAnsi"/>
        </w:rPr>
        <w:t xml:space="preserve">Long-bone fractures which occur in the proximal or distal 1/3, that may or may not involve a joint, may be realigned if compromise of distal circulation or nerve function is detected and transport is prolonged. </w:t>
      </w:r>
    </w:p>
    <w:p w14:paraId="3CBAA76E" w14:textId="77777777" w:rsidR="00D82A94" w:rsidRPr="00B916D3" w:rsidRDefault="00D82A94" w:rsidP="0092138D">
      <w:pPr>
        <w:pStyle w:val="Default"/>
        <w:numPr>
          <w:ilvl w:val="0"/>
          <w:numId w:val="3"/>
        </w:numPr>
        <w:rPr>
          <w:rFonts w:asciiTheme="minorHAnsi" w:hAnsiTheme="minorHAnsi"/>
        </w:rPr>
      </w:pPr>
      <w:r w:rsidRPr="00B916D3">
        <w:rPr>
          <w:rFonts w:asciiTheme="minorHAnsi" w:hAnsiTheme="minorHAnsi"/>
        </w:rPr>
        <w:t xml:space="preserve">Realignment may sometimes be necessary to facilitate packaging for transport. </w:t>
      </w:r>
    </w:p>
    <w:p w14:paraId="5FB60CF0" w14:textId="77777777" w:rsidR="00D82A94" w:rsidRPr="00B916D3" w:rsidRDefault="00D82A94" w:rsidP="0092138D">
      <w:pPr>
        <w:pStyle w:val="Default"/>
        <w:numPr>
          <w:ilvl w:val="0"/>
          <w:numId w:val="3"/>
        </w:numPr>
        <w:rPr>
          <w:rFonts w:asciiTheme="minorHAnsi" w:hAnsiTheme="minorHAnsi"/>
        </w:rPr>
      </w:pPr>
      <w:r w:rsidRPr="00B916D3">
        <w:rPr>
          <w:rFonts w:asciiTheme="minorHAnsi" w:hAnsiTheme="minorHAnsi"/>
        </w:rPr>
        <w:t xml:space="preserve">Check and document CMS before and after splinting and/or realignment. </w:t>
      </w:r>
    </w:p>
    <w:p w14:paraId="661B3531" w14:textId="77777777" w:rsidR="00A040AD" w:rsidRPr="00B916D3" w:rsidRDefault="00A040AD" w:rsidP="00D82A94">
      <w:pPr>
        <w:pStyle w:val="Default"/>
        <w:rPr>
          <w:rFonts w:asciiTheme="minorHAnsi" w:hAnsiTheme="minorHAnsi"/>
          <w:b/>
          <w:bCs/>
        </w:rPr>
      </w:pPr>
    </w:p>
    <w:p w14:paraId="3CD4891E" w14:textId="77777777" w:rsidR="00D82A94" w:rsidRPr="00B916D3" w:rsidRDefault="00D82A94" w:rsidP="00D82A94">
      <w:pPr>
        <w:pStyle w:val="Default"/>
        <w:rPr>
          <w:rFonts w:asciiTheme="minorHAnsi" w:hAnsiTheme="minorHAnsi"/>
        </w:rPr>
      </w:pPr>
      <w:r w:rsidRPr="00B916D3">
        <w:rPr>
          <w:rFonts w:asciiTheme="minorHAnsi" w:hAnsiTheme="minorHAnsi"/>
          <w:b/>
          <w:bCs/>
        </w:rPr>
        <w:t xml:space="preserve">Dislocations/Sprains </w:t>
      </w:r>
    </w:p>
    <w:p w14:paraId="409D2874" w14:textId="77777777" w:rsidR="0092138D" w:rsidRPr="00B916D3" w:rsidRDefault="00D82A94" w:rsidP="0092138D">
      <w:pPr>
        <w:pStyle w:val="Default"/>
        <w:numPr>
          <w:ilvl w:val="0"/>
          <w:numId w:val="4"/>
        </w:numPr>
        <w:rPr>
          <w:rFonts w:asciiTheme="minorHAnsi" w:hAnsiTheme="minorHAnsi"/>
        </w:rPr>
      </w:pPr>
      <w:r w:rsidRPr="00B916D3">
        <w:rPr>
          <w:rFonts w:asciiTheme="minorHAnsi" w:hAnsiTheme="minorHAnsi"/>
        </w:rPr>
        <w:t xml:space="preserve">Splint dislocations or other joint injuries in the position found. </w:t>
      </w:r>
    </w:p>
    <w:p w14:paraId="6825BAD6" w14:textId="77777777" w:rsidR="0092138D" w:rsidRPr="00B916D3" w:rsidRDefault="00D82A94" w:rsidP="0092138D">
      <w:pPr>
        <w:pStyle w:val="Default"/>
        <w:numPr>
          <w:ilvl w:val="0"/>
          <w:numId w:val="4"/>
        </w:numPr>
        <w:rPr>
          <w:rFonts w:asciiTheme="minorHAnsi" w:hAnsiTheme="minorHAnsi"/>
        </w:rPr>
      </w:pPr>
      <w:r w:rsidRPr="00B916D3">
        <w:rPr>
          <w:rFonts w:asciiTheme="minorHAnsi" w:hAnsiTheme="minorHAnsi"/>
        </w:rPr>
        <w:t xml:space="preserve">Exception: Loss of a distal pulse and neurological function and definitive care is delayed. </w:t>
      </w:r>
    </w:p>
    <w:p w14:paraId="0A7D95A3" w14:textId="77777777" w:rsidR="0092138D" w:rsidRPr="00B916D3" w:rsidRDefault="00D82A94" w:rsidP="0092138D">
      <w:pPr>
        <w:pStyle w:val="Default"/>
        <w:numPr>
          <w:ilvl w:val="1"/>
          <w:numId w:val="4"/>
        </w:numPr>
        <w:rPr>
          <w:rFonts w:asciiTheme="minorHAnsi" w:hAnsiTheme="minorHAnsi"/>
        </w:rPr>
      </w:pPr>
      <w:r w:rsidRPr="00B916D3">
        <w:rPr>
          <w:rFonts w:asciiTheme="minorHAnsi" w:hAnsiTheme="minorHAnsi"/>
        </w:rPr>
        <w:t xml:space="preserve">In that case, attempt to straighten into anatomical position until the pulse returns, excessive pain is felt, or resistance is encountered. </w:t>
      </w:r>
    </w:p>
    <w:p w14:paraId="0EE2454A" w14:textId="77777777" w:rsidR="0092138D" w:rsidRPr="00B916D3" w:rsidRDefault="00D82A94" w:rsidP="0092138D">
      <w:pPr>
        <w:pStyle w:val="Default"/>
        <w:numPr>
          <w:ilvl w:val="1"/>
          <w:numId w:val="4"/>
        </w:numPr>
        <w:rPr>
          <w:rFonts w:asciiTheme="minorHAnsi" w:hAnsiTheme="minorHAnsi"/>
        </w:rPr>
      </w:pPr>
      <w:r w:rsidRPr="00B916D3">
        <w:rPr>
          <w:rFonts w:asciiTheme="minorHAnsi" w:hAnsiTheme="minorHAnsi"/>
        </w:rPr>
        <w:t xml:space="preserve">Support with blanket, pillow, or well-padded splint. </w:t>
      </w:r>
    </w:p>
    <w:p w14:paraId="1988EEC5" w14:textId="77777777" w:rsidR="0092138D" w:rsidRPr="00B916D3" w:rsidRDefault="00D82A94" w:rsidP="0092138D">
      <w:pPr>
        <w:pStyle w:val="Default"/>
        <w:numPr>
          <w:ilvl w:val="1"/>
          <w:numId w:val="4"/>
        </w:numPr>
        <w:rPr>
          <w:rFonts w:asciiTheme="minorHAnsi" w:hAnsiTheme="minorHAnsi"/>
        </w:rPr>
      </w:pPr>
      <w:r w:rsidRPr="00B916D3">
        <w:rPr>
          <w:rFonts w:asciiTheme="minorHAnsi" w:hAnsiTheme="minorHAnsi"/>
        </w:rPr>
        <w:t xml:space="preserve">Elevate the limb. </w:t>
      </w:r>
    </w:p>
    <w:p w14:paraId="353CA899" w14:textId="293AE517" w:rsidR="0092138D" w:rsidRPr="00B916D3" w:rsidRDefault="00D82A94" w:rsidP="0092138D">
      <w:pPr>
        <w:pStyle w:val="Default"/>
        <w:numPr>
          <w:ilvl w:val="1"/>
          <w:numId w:val="4"/>
        </w:numPr>
        <w:rPr>
          <w:rFonts w:asciiTheme="minorHAnsi" w:hAnsiTheme="minorHAnsi"/>
        </w:rPr>
      </w:pPr>
      <w:r w:rsidRPr="00B916D3">
        <w:rPr>
          <w:rFonts w:asciiTheme="minorHAnsi" w:hAnsiTheme="minorHAnsi"/>
        </w:rPr>
        <w:t>Pack the injured area in ice or use an</w:t>
      </w:r>
      <w:r w:rsidR="00880989">
        <w:rPr>
          <w:rFonts w:asciiTheme="minorHAnsi" w:hAnsiTheme="minorHAnsi"/>
        </w:rPr>
        <w:t xml:space="preserve"> ice pack.</w:t>
      </w:r>
    </w:p>
    <w:p w14:paraId="731CD5CA" w14:textId="77777777" w:rsidR="0092138D" w:rsidRPr="00B916D3" w:rsidRDefault="0092138D" w:rsidP="0092138D">
      <w:pPr>
        <w:pStyle w:val="Default"/>
        <w:rPr>
          <w:rFonts w:asciiTheme="minorHAnsi" w:hAnsiTheme="minorHAnsi"/>
        </w:rPr>
      </w:pPr>
    </w:p>
    <w:p w14:paraId="344288EA" w14:textId="77777777" w:rsidR="0092138D" w:rsidRPr="00B916D3" w:rsidRDefault="0092138D" w:rsidP="0092138D">
      <w:pPr>
        <w:pStyle w:val="Default"/>
        <w:rPr>
          <w:rFonts w:asciiTheme="minorHAnsi" w:hAnsiTheme="minorHAnsi"/>
          <w:b/>
        </w:rPr>
      </w:pPr>
      <w:r w:rsidRPr="00B916D3">
        <w:rPr>
          <w:rFonts w:asciiTheme="minorHAnsi" w:hAnsiTheme="minorHAnsi"/>
          <w:b/>
        </w:rPr>
        <w:t>TRACTION SPLINTING</w:t>
      </w:r>
    </w:p>
    <w:p w14:paraId="362729D1" w14:textId="77777777" w:rsidR="0092138D" w:rsidRPr="00B916D3" w:rsidRDefault="00D82A94" w:rsidP="00D82A94">
      <w:pPr>
        <w:pStyle w:val="Default"/>
        <w:numPr>
          <w:ilvl w:val="0"/>
          <w:numId w:val="5"/>
        </w:numPr>
        <w:rPr>
          <w:rFonts w:asciiTheme="minorHAnsi" w:hAnsiTheme="minorHAnsi"/>
          <w:color w:val="auto"/>
        </w:rPr>
      </w:pPr>
      <w:r w:rsidRPr="00B916D3">
        <w:rPr>
          <w:rFonts w:asciiTheme="minorHAnsi" w:hAnsiTheme="minorHAnsi"/>
          <w:color w:val="auto"/>
        </w:rPr>
        <w:t xml:space="preserve">A lower extremity traction splint stabilizes fractures of the femur. This reduces motion, hemorrhage, swelling, and pain. Traction splints are indicated in midshaft femoral fractures without involvement of the hip joint, knee, or lower leg. </w:t>
      </w:r>
    </w:p>
    <w:p w14:paraId="177C0647" w14:textId="77777777" w:rsidR="00D82A94" w:rsidRPr="00B916D3" w:rsidRDefault="0092138D" w:rsidP="0092138D">
      <w:pPr>
        <w:pStyle w:val="Default"/>
        <w:numPr>
          <w:ilvl w:val="0"/>
          <w:numId w:val="5"/>
        </w:numPr>
        <w:rPr>
          <w:rFonts w:asciiTheme="minorHAnsi" w:hAnsiTheme="minorHAnsi"/>
          <w:color w:val="auto"/>
        </w:rPr>
      </w:pPr>
      <w:r w:rsidRPr="00B916D3">
        <w:rPr>
          <w:rFonts w:asciiTheme="minorHAnsi" w:hAnsiTheme="minorHAnsi"/>
          <w:b/>
          <w:bCs/>
          <w:color w:val="auto"/>
        </w:rPr>
        <w:t>PROCEDURE</w:t>
      </w:r>
      <w:r w:rsidR="00D82A94" w:rsidRPr="00B916D3">
        <w:rPr>
          <w:rFonts w:asciiTheme="minorHAnsi" w:hAnsiTheme="minorHAnsi"/>
          <w:b/>
          <w:bCs/>
          <w:color w:val="auto"/>
        </w:rPr>
        <w:t xml:space="preserve"> for Applying a Traction Splint </w:t>
      </w:r>
    </w:p>
    <w:p w14:paraId="0C0992FC"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lastRenderedPageBreak/>
        <w:t xml:space="preserve">Two EMTs are needed to apply a traction splint. </w:t>
      </w:r>
    </w:p>
    <w:p w14:paraId="66588212"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Remove or cut away clothing. </w:t>
      </w:r>
    </w:p>
    <w:p w14:paraId="6C82D30A"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Dress and bandage significant wounds using a sterile dressing. </w:t>
      </w:r>
    </w:p>
    <w:p w14:paraId="71E7130D"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Manually immobilize the injured extremity prior to dressing/bandaging. </w:t>
      </w:r>
    </w:p>
    <w:p w14:paraId="48D2D3A1"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Do not apply manual traction. Check distal CMS before and after manipulation. </w:t>
      </w:r>
    </w:p>
    <w:p w14:paraId="5B0DB5B5"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Determine SICK/NOTSICK </w:t>
      </w:r>
    </w:p>
    <w:p w14:paraId="3800C203"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Control Bleeding </w:t>
      </w:r>
    </w:p>
    <w:p w14:paraId="101FBE17"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Size splint to uninjured leg </w:t>
      </w:r>
    </w:p>
    <w:p w14:paraId="2CCC3965" w14:textId="77777777" w:rsidR="0092138D"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Have one EMT stabilize the leg while the other applies the traction device. </w:t>
      </w:r>
    </w:p>
    <w:p w14:paraId="31C2A4A5" w14:textId="77777777" w:rsidR="00D82A94"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Apply splint </w:t>
      </w:r>
    </w:p>
    <w:p w14:paraId="13331653" w14:textId="77777777" w:rsidR="00D82A94" w:rsidRPr="00B916D3" w:rsidRDefault="00D82A94" w:rsidP="0092138D">
      <w:pPr>
        <w:pStyle w:val="Default"/>
        <w:numPr>
          <w:ilvl w:val="0"/>
          <w:numId w:val="7"/>
        </w:numPr>
        <w:spacing w:after="19"/>
        <w:ind w:left="1980"/>
        <w:rPr>
          <w:rFonts w:asciiTheme="minorHAnsi" w:hAnsiTheme="minorHAnsi"/>
          <w:color w:val="auto"/>
        </w:rPr>
      </w:pPr>
      <w:r w:rsidRPr="00B916D3">
        <w:rPr>
          <w:rFonts w:asciiTheme="minorHAnsi" w:hAnsiTheme="minorHAnsi"/>
          <w:color w:val="auto"/>
        </w:rPr>
        <w:t xml:space="preserve">Groin strap </w:t>
      </w:r>
    </w:p>
    <w:p w14:paraId="29EC3376" w14:textId="77777777" w:rsidR="00D82A94" w:rsidRPr="00B916D3" w:rsidRDefault="00D82A94" w:rsidP="0092138D">
      <w:pPr>
        <w:pStyle w:val="Default"/>
        <w:numPr>
          <w:ilvl w:val="0"/>
          <w:numId w:val="7"/>
        </w:numPr>
        <w:spacing w:after="19"/>
        <w:ind w:left="1980"/>
        <w:rPr>
          <w:rFonts w:asciiTheme="minorHAnsi" w:hAnsiTheme="minorHAnsi"/>
          <w:color w:val="auto"/>
        </w:rPr>
      </w:pPr>
      <w:r w:rsidRPr="00B916D3">
        <w:rPr>
          <w:rFonts w:asciiTheme="minorHAnsi" w:hAnsiTheme="minorHAnsi"/>
          <w:color w:val="auto"/>
        </w:rPr>
        <w:t xml:space="preserve">Ankle hitch </w:t>
      </w:r>
    </w:p>
    <w:p w14:paraId="657F1061" w14:textId="77777777" w:rsidR="00D82A94" w:rsidRPr="00B916D3" w:rsidRDefault="00D82A94" w:rsidP="0092138D">
      <w:pPr>
        <w:pStyle w:val="Default"/>
        <w:numPr>
          <w:ilvl w:val="0"/>
          <w:numId w:val="7"/>
        </w:numPr>
        <w:spacing w:after="19"/>
        <w:ind w:left="1980"/>
        <w:rPr>
          <w:rFonts w:asciiTheme="minorHAnsi" w:hAnsiTheme="minorHAnsi"/>
          <w:color w:val="auto"/>
        </w:rPr>
      </w:pPr>
      <w:r w:rsidRPr="00B916D3">
        <w:rPr>
          <w:rFonts w:asciiTheme="minorHAnsi" w:hAnsiTheme="minorHAnsi"/>
          <w:color w:val="auto"/>
        </w:rPr>
        <w:t xml:space="preserve">Knee strap </w:t>
      </w:r>
    </w:p>
    <w:p w14:paraId="56A44343" w14:textId="77777777" w:rsidR="00D82A94" w:rsidRPr="00B916D3" w:rsidRDefault="00D82A94" w:rsidP="0092138D">
      <w:pPr>
        <w:pStyle w:val="Default"/>
        <w:numPr>
          <w:ilvl w:val="0"/>
          <w:numId w:val="7"/>
        </w:numPr>
        <w:spacing w:after="19"/>
        <w:ind w:left="1980"/>
        <w:rPr>
          <w:rFonts w:asciiTheme="minorHAnsi" w:hAnsiTheme="minorHAnsi"/>
          <w:color w:val="auto"/>
        </w:rPr>
      </w:pPr>
      <w:r w:rsidRPr="00B916D3">
        <w:rPr>
          <w:rFonts w:asciiTheme="minorHAnsi" w:hAnsiTheme="minorHAnsi"/>
          <w:color w:val="auto"/>
        </w:rPr>
        <w:t xml:space="preserve">Extend </w:t>
      </w:r>
    </w:p>
    <w:p w14:paraId="76B53C00" w14:textId="77777777" w:rsidR="00D82A94" w:rsidRPr="00B916D3" w:rsidRDefault="00D82A94" w:rsidP="0092138D">
      <w:pPr>
        <w:pStyle w:val="Default"/>
        <w:numPr>
          <w:ilvl w:val="0"/>
          <w:numId w:val="7"/>
        </w:numPr>
        <w:ind w:left="1980"/>
        <w:rPr>
          <w:rFonts w:asciiTheme="minorHAnsi" w:hAnsiTheme="minorHAnsi"/>
          <w:color w:val="auto"/>
        </w:rPr>
      </w:pPr>
      <w:r w:rsidRPr="00B916D3">
        <w:rPr>
          <w:rFonts w:asciiTheme="minorHAnsi" w:hAnsiTheme="minorHAnsi"/>
          <w:color w:val="auto"/>
        </w:rPr>
        <w:t xml:space="preserve">Thigh and calf straps </w:t>
      </w:r>
    </w:p>
    <w:p w14:paraId="21CBC3F6" w14:textId="77777777" w:rsidR="00D82A94" w:rsidRPr="00B916D3" w:rsidRDefault="00D82A94" w:rsidP="0092138D">
      <w:pPr>
        <w:pStyle w:val="Default"/>
        <w:numPr>
          <w:ilvl w:val="0"/>
          <w:numId w:val="8"/>
        </w:numPr>
        <w:rPr>
          <w:rFonts w:asciiTheme="minorHAnsi" w:hAnsiTheme="minorHAnsi"/>
          <w:color w:val="auto"/>
        </w:rPr>
      </w:pPr>
      <w:r w:rsidRPr="00B916D3">
        <w:rPr>
          <w:rFonts w:asciiTheme="minorHAnsi" w:hAnsiTheme="minorHAnsi"/>
          <w:color w:val="auto"/>
        </w:rPr>
        <w:t xml:space="preserve">Reassess CMS and vital signs </w:t>
      </w:r>
    </w:p>
    <w:p w14:paraId="212986DE" w14:textId="77777777" w:rsidR="00180710" w:rsidRPr="00B916D3" w:rsidRDefault="00180710" w:rsidP="005F4C90">
      <w:pPr>
        <w:rPr>
          <w:rFonts w:asciiTheme="minorHAnsi" w:hAnsiTheme="minorHAnsi"/>
          <w:sz w:val="24"/>
          <w:szCs w:val="24"/>
        </w:rPr>
      </w:pPr>
    </w:p>
    <w:sectPr w:rsidR="00180710" w:rsidRPr="00B916D3" w:rsidSect="00B27219">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01DC3" w14:textId="77777777" w:rsidR="00E97C64" w:rsidRDefault="00E97C64">
      <w:r>
        <w:separator/>
      </w:r>
    </w:p>
  </w:endnote>
  <w:endnote w:type="continuationSeparator" w:id="0">
    <w:p w14:paraId="0B2BAC04" w14:textId="77777777" w:rsidR="00E97C64" w:rsidRDefault="00E9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967D" w14:textId="77777777" w:rsidR="0092138D" w:rsidRDefault="0092138D" w:rsidP="00F75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CFA00" w14:textId="77777777" w:rsidR="0092138D" w:rsidRDefault="009213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D84F9" w14:textId="77777777" w:rsidR="0092138D" w:rsidRDefault="0092138D" w:rsidP="00F7581D">
    <w:pPr>
      <w:pStyle w:val="Footer"/>
      <w:framePr w:wrap="around" w:vAnchor="text" w:hAnchor="margin" w:xAlign="center" w:y="1"/>
      <w:rPr>
        <w:rStyle w:val="PageNumbe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576"/>
    </w:tblGrid>
    <w:tr w:rsidR="0092138D" w:rsidRPr="00CF5667" w14:paraId="3F296E95" w14:textId="77777777" w:rsidTr="00BD7244">
      <w:trPr>
        <w:trHeight w:val="387"/>
      </w:trPr>
      <w:tc>
        <w:tcPr>
          <w:tcW w:w="9576" w:type="dxa"/>
        </w:tcPr>
        <w:p w14:paraId="04130786" w14:textId="77777777" w:rsidR="0092138D" w:rsidRPr="00CF5667" w:rsidRDefault="0092138D" w:rsidP="000758C6">
          <w:pPr>
            <w:pStyle w:val="Header"/>
            <w:tabs>
              <w:tab w:val="left" w:pos="7380"/>
              <w:tab w:val="left" w:pos="8640"/>
            </w:tabs>
            <w:jc w:val="center"/>
            <w:rPr>
              <w:rFonts w:asciiTheme="minorHAnsi" w:hAnsiTheme="minorHAnsi" w:cs="Arial"/>
              <w:i/>
              <w:sz w:val="16"/>
              <w:szCs w:val="16"/>
            </w:rPr>
          </w:pPr>
        </w:p>
        <w:tbl>
          <w:tblPr>
            <w:tblStyle w:val="TableGrid"/>
            <w:tblW w:w="9450" w:type="dxa"/>
            <w:tblBorders>
              <w:left w:val="none" w:sz="0" w:space="0" w:color="auto"/>
              <w:bottom w:val="none" w:sz="0" w:space="0" w:color="auto"/>
              <w:right w:val="none" w:sz="0" w:space="0" w:color="auto"/>
            </w:tblBorders>
            <w:tblLook w:val="04A0" w:firstRow="1" w:lastRow="0" w:firstColumn="1" w:lastColumn="0" w:noHBand="0" w:noVBand="1"/>
          </w:tblPr>
          <w:tblGrid>
            <w:gridCol w:w="9450"/>
          </w:tblGrid>
          <w:tr w:rsidR="0092138D" w:rsidRPr="00D01915" w14:paraId="55A0DE92" w14:textId="77777777" w:rsidTr="00046F77">
            <w:tc>
              <w:tcPr>
                <w:tcW w:w="9450" w:type="dxa"/>
              </w:tcPr>
              <w:p w14:paraId="69144298" w14:textId="77777777" w:rsidR="0092138D" w:rsidRPr="00D01915" w:rsidRDefault="0092138D" w:rsidP="000758C6">
                <w:pPr>
                  <w:pStyle w:val="Header"/>
                  <w:tabs>
                    <w:tab w:val="left" w:pos="7380"/>
                    <w:tab w:val="left" w:pos="8640"/>
                  </w:tabs>
                  <w:jc w:val="right"/>
                  <w:rPr>
                    <w:rStyle w:val="PageNumber"/>
                    <w:rFonts w:asciiTheme="minorHAnsi" w:hAnsiTheme="minorHAnsi" w:cs="Arial"/>
                    <w:i/>
                    <w:sz w:val="16"/>
                    <w:szCs w:val="16"/>
                  </w:rPr>
                </w:pPr>
                <w:r w:rsidRPr="00D01915">
                  <w:rPr>
                    <w:rStyle w:val="PageNumber"/>
                    <w:rFonts w:asciiTheme="minorHAnsi" w:hAnsiTheme="minorHAnsi" w:cs="Arial"/>
                    <w:i/>
                    <w:sz w:val="16"/>
                    <w:szCs w:val="16"/>
                  </w:rPr>
                  <w:t xml:space="preserve">SAN FRANCISCO EMS AGENCY  </w:t>
                </w:r>
              </w:p>
              <w:p w14:paraId="10171C3B" w14:textId="77777777" w:rsidR="00D2533E" w:rsidRDefault="00D2533E" w:rsidP="00D2533E">
                <w:pPr>
                  <w:pStyle w:val="Header"/>
                  <w:tabs>
                    <w:tab w:val="left" w:pos="7380"/>
                    <w:tab w:val="left" w:pos="8640"/>
                  </w:tabs>
                  <w:jc w:val="right"/>
                </w:pPr>
                <w:r>
                  <w:rPr>
                    <w:rFonts w:ascii="Calibri" w:hAnsi="Calibri" w:cs="Arial"/>
                    <w:i/>
                    <w:sz w:val="16"/>
                    <w:szCs w:val="16"/>
                  </w:rPr>
                  <w:t>Effective: 03/01/15</w:t>
                </w:r>
              </w:p>
              <w:p w14:paraId="783CF571" w14:textId="77777777" w:rsidR="0092138D" w:rsidRPr="00D01915" w:rsidRDefault="0092138D" w:rsidP="006A7310">
                <w:pPr>
                  <w:pStyle w:val="Header"/>
                  <w:tabs>
                    <w:tab w:val="left" w:pos="7380"/>
                    <w:tab w:val="left" w:pos="8640"/>
                  </w:tabs>
                  <w:jc w:val="right"/>
                  <w:rPr>
                    <w:rStyle w:val="PageNumber"/>
                    <w:rFonts w:asciiTheme="minorHAnsi" w:hAnsiTheme="minorHAnsi" w:cs="Arial"/>
                    <w:i/>
                    <w:sz w:val="16"/>
                    <w:szCs w:val="16"/>
                  </w:rPr>
                </w:pPr>
                <w:bookmarkStart w:id="0" w:name="_GoBack"/>
                <w:bookmarkEnd w:id="0"/>
                <w:r w:rsidRPr="00D01915">
                  <w:rPr>
                    <w:rFonts w:asciiTheme="minorHAnsi" w:hAnsiTheme="minorHAnsi" w:cs="Arial"/>
                    <w:i/>
                    <w:sz w:val="16"/>
                    <w:szCs w:val="16"/>
                  </w:rPr>
                  <w:t>Supersedes:</w:t>
                </w:r>
                <w:r>
                  <w:rPr>
                    <w:rFonts w:asciiTheme="minorHAnsi" w:hAnsiTheme="minorHAnsi" w:cs="Arial"/>
                    <w:i/>
                    <w:sz w:val="16"/>
                    <w:szCs w:val="16"/>
                  </w:rPr>
                  <w:t xml:space="preserve"> New</w:t>
                </w:r>
                <w:r w:rsidRPr="00D01915">
                  <w:rPr>
                    <w:rFonts w:asciiTheme="minorHAnsi" w:hAnsiTheme="minorHAnsi" w:cs="Arial"/>
                    <w:i/>
                    <w:sz w:val="16"/>
                    <w:szCs w:val="16"/>
                  </w:rPr>
                  <w:t xml:space="preserve"> </w:t>
                </w:r>
              </w:p>
            </w:tc>
          </w:tr>
        </w:tbl>
        <w:p w14:paraId="17875DE2" w14:textId="77777777" w:rsidR="0092138D" w:rsidRPr="00CF5667" w:rsidRDefault="0092138D" w:rsidP="000758C6">
          <w:pPr>
            <w:pStyle w:val="Header"/>
            <w:tabs>
              <w:tab w:val="left" w:pos="7380"/>
              <w:tab w:val="left" w:pos="8640"/>
            </w:tabs>
            <w:jc w:val="center"/>
            <w:rPr>
              <w:rFonts w:asciiTheme="minorHAnsi" w:hAnsiTheme="minorHAnsi" w:cs="Arial"/>
              <w:i/>
              <w:sz w:val="16"/>
              <w:szCs w:val="16"/>
            </w:rPr>
          </w:pPr>
        </w:p>
      </w:tc>
    </w:tr>
  </w:tbl>
  <w:p w14:paraId="33842EE9" w14:textId="77777777" w:rsidR="0092138D" w:rsidRPr="00230074" w:rsidRDefault="0092138D" w:rsidP="00CA52C3">
    <w:pPr>
      <w:pStyle w:val="Footer"/>
      <w:tabs>
        <w:tab w:val="center" w:pos="4680"/>
        <w:tab w:val="right" w:pos="9360"/>
      </w:tabs>
      <w:rPr>
        <w:rFonts w:asciiTheme="minorHAnsi" w:hAnsiTheme="minorHAnsi" w:cstheme="minorHAnsi"/>
        <w:sz w:val="20"/>
      </w:rPr>
    </w:pPr>
    <w:r>
      <w:rPr>
        <w:rFonts w:asciiTheme="minorHAnsi" w:hAnsiTheme="minorHAnsi" w:cstheme="minorHAnsi"/>
        <w:sz w:val="20"/>
      </w:rPr>
      <w:tab/>
    </w:r>
    <w:r w:rsidRPr="00230074">
      <w:rPr>
        <w:rFonts w:asciiTheme="minorHAnsi" w:hAnsiTheme="minorHAnsi" w:cstheme="minorHAnsi"/>
        <w:sz w:val="20"/>
      </w:rPr>
      <w:t xml:space="preserve">Page </w:t>
    </w:r>
    <w:r w:rsidRPr="00230074">
      <w:rPr>
        <w:rFonts w:asciiTheme="minorHAnsi" w:hAnsiTheme="minorHAnsi" w:cstheme="minorHAnsi"/>
        <w:sz w:val="20"/>
      </w:rPr>
      <w:fldChar w:fldCharType="begin"/>
    </w:r>
    <w:r w:rsidRPr="00230074">
      <w:rPr>
        <w:rFonts w:asciiTheme="minorHAnsi" w:hAnsiTheme="minorHAnsi" w:cstheme="minorHAnsi"/>
        <w:sz w:val="20"/>
      </w:rPr>
      <w:instrText xml:space="preserve"> PAGE </w:instrText>
    </w:r>
    <w:r w:rsidRPr="00230074">
      <w:rPr>
        <w:rFonts w:asciiTheme="minorHAnsi" w:hAnsiTheme="minorHAnsi" w:cstheme="minorHAnsi"/>
        <w:sz w:val="20"/>
      </w:rPr>
      <w:fldChar w:fldCharType="separate"/>
    </w:r>
    <w:r w:rsidR="00D2533E">
      <w:rPr>
        <w:rFonts w:asciiTheme="minorHAnsi" w:hAnsiTheme="minorHAnsi" w:cstheme="minorHAnsi"/>
        <w:noProof/>
        <w:sz w:val="20"/>
      </w:rPr>
      <w:t>2</w:t>
    </w:r>
    <w:r w:rsidRPr="00230074">
      <w:rPr>
        <w:rFonts w:asciiTheme="minorHAnsi" w:hAnsiTheme="minorHAnsi" w:cstheme="minorHAnsi"/>
        <w:sz w:val="20"/>
      </w:rPr>
      <w:fldChar w:fldCharType="end"/>
    </w:r>
    <w:r w:rsidRPr="00230074">
      <w:rPr>
        <w:rFonts w:asciiTheme="minorHAnsi" w:hAnsiTheme="minorHAnsi" w:cstheme="minorHAnsi"/>
        <w:sz w:val="20"/>
      </w:rPr>
      <w:t xml:space="preserve"> of </w:t>
    </w:r>
    <w:r w:rsidRPr="00230074">
      <w:rPr>
        <w:rFonts w:asciiTheme="minorHAnsi" w:hAnsiTheme="minorHAnsi" w:cstheme="minorHAnsi"/>
        <w:sz w:val="20"/>
      </w:rPr>
      <w:fldChar w:fldCharType="begin"/>
    </w:r>
    <w:r w:rsidRPr="00230074">
      <w:rPr>
        <w:rFonts w:asciiTheme="minorHAnsi" w:hAnsiTheme="minorHAnsi" w:cstheme="minorHAnsi"/>
        <w:sz w:val="20"/>
      </w:rPr>
      <w:instrText xml:space="preserve"> NUMPAGES </w:instrText>
    </w:r>
    <w:r w:rsidRPr="00230074">
      <w:rPr>
        <w:rFonts w:asciiTheme="minorHAnsi" w:hAnsiTheme="minorHAnsi" w:cstheme="minorHAnsi"/>
        <w:sz w:val="20"/>
      </w:rPr>
      <w:fldChar w:fldCharType="separate"/>
    </w:r>
    <w:r w:rsidR="00D2533E">
      <w:rPr>
        <w:rFonts w:asciiTheme="minorHAnsi" w:hAnsiTheme="minorHAnsi" w:cstheme="minorHAnsi"/>
        <w:noProof/>
        <w:sz w:val="20"/>
      </w:rPr>
      <w:t>2</w:t>
    </w:r>
    <w:r w:rsidRPr="00230074">
      <w:rPr>
        <w:rFonts w:asciiTheme="minorHAnsi" w:hAnsiTheme="minorHAnsi" w:cstheme="minorHAnsi"/>
        <w:sz w:val="20"/>
      </w:rPr>
      <w:fldChar w:fldCharType="end"/>
    </w:r>
    <w:r>
      <w:rPr>
        <w:rFonts w:asciiTheme="minorHAnsi" w:hAnsiTheme="minorHAnsi" w:cstheme="minorHAnsi"/>
        <w:sz w:val="20"/>
      </w:rPr>
      <w:tab/>
    </w:r>
    <w:r>
      <w:rPr>
        <w:rFonts w:asciiTheme="minorHAnsi" w:hAnsiTheme="minorHAnsi" w:cstheme="minorHAnsi"/>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27E9" w14:textId="77777777" w:rsidR="0092138D" w:rsidRDefault="0092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89513" w14:textId="77777777" w:rsidR="00E97C64" w:rsidRDefault="00E97C64">
      <w:r>
        <w:separator/>
      </w:r>
    </w:p>
  </w:footnote>
  <w:footnote w:type="continuationSeparator" w:id="0">
    <w:p w14:paraId="2427936F" w14:textId="77777777" w:rsidR="00E97C64" w:rsidRDefault="00E9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E5AB" w14:textId="77777777" w:rsidR="0092138D" w:rsidRDefault="00E97C64">
    <w:pPr>
      <w:pStyle w:val="Header"/>
    </w:pPr>
    <w:r>
      <w:rPr>
        <w:noProof/>
      </w:rPr>
      <w:pict w14:anchorId="64721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12"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7001" w14:textId="77777777" w:rsidR="0092138D" w:rsidRPr="00CB34E1" w:rsidRDefault="0092138D" w:rsidP="00BB7274">
    <w:pPr>
      <w:pStyle w:val="PlainText"/>
      <w:tabs>
        <w:tab w:val="center" w:pos="4680"/>
        <w:tab w:val="right" w:pos="9360"/>
      </w:tabs>
      <w:rPr>
        <w:rFonts w:ascii="Arial" w:hAnsi="Arial" w:cs="Arial"/>
        <w:b/>
        <w:sz w:val="28"/>
        <w:szCs w:val="28"/>
      </w:rPr>
    </w:pPr>
    <w:r>
      <w:rPr>
        <w:rFonts w:ascii="Arial" w:hAnsi="Arial" w:cs="Arial"/>
        <w:b/>
        <w:sz w:val="24"/>
        <w:szCs w:val="24"/>
      </w:rPr>
      <w:tab/>
    </w:r>
    <w:r>
      <w:rPr>
        <w:rFonts w:ascii="Arial" w:hAnsi="Arial" w:cs="Arial"/>
        <w:b/>
        <w:sz w:val="28"/>
        <w:szCs w:val="28"/>
      </w:rPr>
      <w:t>7.15 SPLINTING</w:t>
    </w:r>
    <w:r w:rsidRPr="00CB34E1">
      <w:rPr>
        <w:rFonts w:ascii="Arial" w:hAnsi="Arial" w:cs="Arial"/>
        <w:b/>
        <w:sz w:val="28"/>
        <w:szCs w:val="28"/>
      </w:rPr>
      <w:tab/>
    </w:r>
  </w:p>
  <w:p w14:paraId="50BFB526" w14:textId="77777777" w:rsidR="0092138D" w:rsidRDefault="0092138D" w:rsidP="009A0A0F">
    <w:pPr>
      <w:pStyle w:val="PlainText"/>
      <w:spacing w:after="120"/>
      <w:ind w:firstLine="1440"/>
    </w:pPr>
    <w:r>
      <w:rPr>
        <w:rFonts w:ascii="Arial" w:hAnsi="Arial" w:cs="Arial"/>
        <w:b/>
        <w:sz w:val="24"/>
        <w:szCs w:val="24"/>
      </w:rPr>
      <w:t xml:space="preserve">   </w:t>
    </w:r>
    <w:r w:rsidRPr="00324C0A">
      <w:rPr>
        <w:rFonts w:ascii="Arial" w:hAnsi="Arial" w:cs="Arial"/>
        <w:b/>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46A1" w14:textId="77777777" w:rsidR="0092138D" w:rsidRDefault="00E97C64">
    <w:pPr>
      <w:pStyle w:val="Header"/>
    </w:pPr>
    <w:r>
      <w:rPr>
        <w:noProof/>
      </w:rPr>
      <w:pict w14:anchorId="0917F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0511"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4B9A"/>
    <w:multiLevelType w:val="multilevel"/>
    <w:tmpl w:val="7A743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843C10"/>
    <w:multiLevelType w:val="hybridMultilevel"/>
    <w:tmpl w:val="C66A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D5F67"/>
    <w:multiLevelType w:val="hybridMultilevel"/>
    <w:tmpl w:val="5D42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A3F9D"/>
    <w:multiLevelType w:val="hybridMultilevel"/>
    <w:tmpl w:val="7A743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03AB1"/>
    <w:multiLevelType w:val="hybridMultilevel"/>
    <w:tmpl w:val="BC6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B29B4"/>
    <w:multiLevelType w:val="hybridMultilevel"/>
    <w:tmpl w:val="3C109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F0B5C"/>
    <w:multiLevelType w:val="hybridMultilevel"/>
    <w:tmpl w:val="FD927C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B17921"/>
    <w:multiLevelType w:val="hybridMultilevel"/>
    <w:tmpl w:val="8EE0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E541D"/>
    <w:multiLevelType w:val="hybridMultilevel"/>
    <w:tmpl w:val="26F4E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5"/>
  </w:num>
  <w:num w:numId="5">
    <w:abstractNumId w:val="1"/>
  </w:num>
  <w:num w:numId="6">
    <w:abstractNumId w:val="3"/>
  </w:num>
  <w:num w:numId="7">
    <w:abstractNumId w:val="6"/>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DE"/>
    <w:rsid w:val="00000617"/>
    <w:rsid w:val="00000721"/>
    <w:rsid w:val="00006121"/>
    <w:rsid w:val="00011D23"/>
    <w:rsid w:val="00021F6D"/>
    <w:rsid w:val="00022770"/>
    <w:rsid w:val="000278A4"/>
    <w:rsid w:val="00037544"/>
    <w:rsid w:val="00046B3C"/>
    <w:rsid w:val="00046F77"/>
    <w:rsid w:val="00054F8F"/>
    <w:rsid w:val="00061B25"/>
    <w:rsid w:val="00070292"/>
    <w:rsid w:val="000758C6"/>
    <w:rsid w:val="00082F27"/>
    <w:rsid w:val="000A7FB2"/>
    <w:rsid w:val="000B5685"/>
    <w:rsid w:val="000C0CB4"/>
    <w:rsid w:val="000E52B8"/>
    <w:rsid w:val="000F1F57"/>
    <w:rsid w:val="00104BBD"/>
    <w:rsid w:val="00105D6A"/>
    <w:rsid w:val="001253FA"/>
    <w:rsid w:val="00152E1E"/>
    <w:rsid w:val="001543D9"/>
    <w:rsid w:val="0017602B"/>
    <w:rsid w:val="00180710"/>
    <w:rsid w:val="00194900"/>
    <w:rsid w:val="001C10AD"/>
    <w:rsid w:val="001C3FB4"/>
    <w:rsid w:val="001F3398"/>
    <w:rsid w:val="00213D6C"/>
    <w:rsid w:val="00230074"/>
    <w:rsid w:val="00242179"/>
    <w:rsid w:val="00243C19"/>
    <w:rsid w:val="0025263A"/>
    <w:rsid w:val="0026126C"/>
    <w:rsid w:val="00267B49"/>
    <w:rsid w:val="002743C4"/>
    <w:rsid w:val="002962F2"/>
    <w:rsid w:val="002A5AEC"/>
    <w:rsid w:val="002C50E2"/>
    <w:rsid w:val="002C5940"/>
    <w:rsid w:val="002E537B"/>
    <w:rsid w:val="002F5F3E"/>
    <w:rsid w:val="00310CE3"/>
    <w:rsid w:val="003157DF"/>
    <w:rsid w:val="00320D61"/>
    <w:rsid w:val="00324C0A"/>
    <w:rsid w:val="00325886"/>
    <w:rsid w:val="00341F4B"/>
    <w:rsid w:val="00350E56"/>
    <w:rsid w:val="003522E4"/>
    <w:rsid w:val="00361588"/>
    <w:rsid w:val="003811D4"/>
    <w:rsid w:val="0039573F"/>
    <w:rsid w:val="003A58DF"/>
    <w:rsid w:val="003B1CBE"/>
    <w:rsid w:val="003B708C"/>
    <w:rsid w:val="003E379D"/>
    <w:rsid w:val="00402737"/>
    <w:rsid w:val="00411EBA"/>
    <w:rsid w:val="00415EF3"/>
    <w:rsid w:val="00435D98"/>
    <w:rsid w:val="004568B7"/>
    <w:rsid w:val="00463C77"/>
    <w:rsid w:val="0048655F"/>
    <w:rsid w:val="004A2D66"/>
    <w:rsid w:val="004A5659"/>
    <w:rsid w:val="004B3A06"/>
    <w:rsid w:val="004B458D"/>
    <w:rsid w:val="004E375F"/>
    <w:rsid w:val="004F210D"/>
    <w:rsid w:val="004F2FEC"/>
    <w:rsid w:val="004F3F4C"/>
    <w:rsid w:val="005015DC"/>
    <w:rsid w:val="00512A02"/>
    <w:rsid w:val="00530957"/>
    <w:rsid w:val="005325B6"/>
    <w:rsid w:val="00546394"/>
    <w:rsid w:val="00563664"/>
    <w:rsid w:val="00566890"/>
    <w:rsid w:val="00566B33"/>
    <w:rsid w:val="00575BA4"/>
    <w:rsid w:val="00576315"/>
    <w:rsid w:val="005765D7"/>
    <w:rsid w:val="00581069"/>
    <w:rsid w:val="0058338D"/>
    <w:rsid w:val="005A1DE4"/>
    <w:rsid w:val="005B118B"/>
    <w:rsid w:val="005B32A9"/>
    <w:rsid w:val="005C1F17"/>
    <w:rsid w:val="005E4D5D"/>
    <w:rsid w:val="005E5CDE"/>
    <w:rsid w:val="005F4C90"/>
    <w:rsid w:val="006000E9"/>
    <w:rsid w:val="0062781B"/>
    <w:rsid w:val="006279E0"/>
    <w:rsid w:val="00634140"/>
    <w:rsid w:val="0063426C"/>
    <w:rsid w:val="006417F2"/>
    <w:rsid w:val="0064579C"/>
    <w:rsid w:val="00657B05"/>
    <w:rsid w:val="0066044C"/>
    <w:rsid w:val="00664E89"/>
    <w:rsid w:val="0066573D"/>
    <w:rsid w:val="006708F5"/>
    <w:rsid w:val="00675D98"/>
    <w:rsid w:val="006763AD"/>
    <w:rsid w:val="00690C3F"/>
    <w:rsid w:val="006A6E9B"/>
    <w:rsid w:val="006A7310"/>
    <w:rsid w:val="006B6C04"/>
    <w:rsid w:val="006B751B"/>
    <w:rsid w:val="006C11EF"/>
    <w:rsid w:val="006D2C97"/>
    <w:rsid w:val="006D5861"/>
    <w:rsid w:val="006F38BB"/>
    <w:rsid w:val="00702812"/>
    <w:rsid w:val="00712C7E"/>
    <w:rsid w:val="00716D7E"/>
    <w:rsid w:val="0071780B"/>
    <w:rsid w:val="00725072"/>
    <w:rsid w:val="007377C1"/>
    <w:rsid w:val="00743269"/>
    <w:rsid w:val="00761EE7"/>
    <w:rsid w:val="0079125D"/>
    <w:rsid w:val="0079551A"/>
    <w:rsid w:val="007A2448"/>
    <w:rsid w:val="007B4ACB"/>
    <w:rsid w:val="007C0E42"/>
    <w:rsid w:val="007F3C76"/>
    <w:rsid w:val="007F665D"/>
    <w:rsid w:val="007F6989"/>
    <w:rsid w:val="008105F5"/>
    <w:rsid w:val="0081339A"/>
    <w:rsid w:val="00817B51"/>
    <w:rsid w:val="0082017F"/>
    <w:rsid w:val="00852B3C"/>
    <w:rsid w:val="00863DDB"/>
    <w:rsid w:val="00880989"/>
    <w:rsid w:val="008937D5"/>
    <w:rsid w:val="0089730E"/>
    <w:rsid w:val="008A19CE"/>
    <w:rsid w:val="008A2CE5"/>
    <w:rsid w:val="008A6021"/>
    <w:rsid w:val="008C336A"/>
    <w:rsid w:val="008C4E1A"/>
    <w:rsid w:val="008D0F10"/>
    <w:rsid w:val="008E3924"/>
    <w:rsid w:val="008E6314"/>
    <w:rsid w:val="008F7CF5"/>
    <w:rsid w:val="00903DB9"/>
    <w:rsid w:val="009111DD"/>
    <w:rsid w:val="00914293"/>
    <w:rsid w:val="0092138D"/>
    <w:rsid w:val="00940BD4"/>
    <w:rsid w:val="0094459B"/>
    <w:rsid w:val="00944B75"/>
    <w:rsid w:val="0094713F"/>
    <w:rsid w:val="0095308B"/>
    <w:rsid w:val="00953C72"/>
    <w:rsid w:val="00964277"/>
    <w:rsid w:val="0097479F"/>
    <w:rsid w:val="0098425C"/>
    <w:rsid w:val="0098689C"/>
    <w:rsid w:val="009A0A0F"/>
    <w:rsid w:val="009A69F2"/>
    <w:rsid w:val="009B12AD"/>
    <w:rsid w:val="009B22BF"/>
    <w:rsid w:val="009B2BCD"/>
    <w:rsid w:val="009B5785"/>
    <w:rsid w:val="009B7E31"/>
    <w:rsid w:val="009C0CC0"/>
    <w:rsid w:val="009F3076"/>
    <w:rsid w:val="00A040AD"/>
    <w:rsid w:val="00A23AF8"/>
    <w:rsid w:val="00A24C55"/>
    <w:rsid w:val="00A33EEC"/>
    <w:rsid w:val="00A424E1"/>
    <w:rsid w:val="00A43F03"/>
    <w:rsid w:val="00A74D38"/>
    <w:rsid w:val="00A83D6A"/>
    <w:rsid w:val="00A84108"/>
    <w:rsid w:val="00A93A0D"/>
    <w:rsid w:val="00A94D55"/>
    <w:rsid w:val="00AA09EF"/>
    <w:rsid w:val="00AC16F4"/>
    <w:rsid w:val="00B00FC4"/>
    <w:rsid w:val="00B04567"/>
    <w:rsid w:val="00B1303F"/>
    <w:rsid w:val="00B16359"/>
    <w:rsid w:val="00B22E43"/>
    <w:rsid w:val="00B27219"/>
    <w:rsid w:val="00B52E81"/>
    <w:rsid w:val="00B61A43"/>
    <w:rsid w:val="00B65D5E"/>
    <w:rsid w:val="00B71501"/>
    <w:rsid w:val="00B8703A"/>
    <w:rsid w:val="00B8768A"/>
    <w:rsid w:val="00B916D3"/>
    <w:rsid w:val="00BB2F9C"/>
    <w:rsid w:val="00BB42FC"/>
    <w:rsid w:val="00BB7274"/>
    <w:rsid w:val="00BC515D"/>
    <w:rsid w:val="00BD25ED"/>
    <w:rsid w:val="00BD3CE9"/>
    <w:rsid w:val="00BD7244"/>
    <w:rsid w:val="00BF1F67"/>
    <w:rsid w:val="00C00438"/>
    <w:rsid w:val="00C07524"/>
    <w:rsid w:val="00C1493D"/>
    <w:rsid w:val="00C23BDD"/>
    <w:rsid w:val="00C37C7F"/>
    <w:rsid w:val="00C534AB"/>
    <w:rsid w:val="00C61749"/>
    <w:rsid w:val="00C62084"/>
    <w:rsid w:val="00C6671B"/>
    <w:rsid w:val="00C741CF"/>
    <w:rsid w:val="00C850AE"/>
    <w:rsid w:val="00C90700"/>
    <w:rsid w:val="00CA0D46"/>
    <w:rsid w:val="00CA52C3"/>
    <w:rsid w:val="00CA54F4"/>
    <w:rsid w:val="00CA7B9C"/>
    <w:rsid w:val="00CB1074"/>
    <w:rsid w:val="00CB34E1"/>
    <w:rsid w:val="00CC2051"/>
    <w:rsid w:val="00CC361B"/>
    <w:rsid w:val="00CC628A"/>
    <w:rsid w:val="00CD5F59"/>
    <w:rsid w:val="00CE125F"/>
    <w:rsid w:val="00CE2638"/>
    <w:rsid w:val="00CF5667"/>
    <w:rsid w:val="00D01915"/>
    <w:rsid w:val="00D16A06"/>
    <w:rsid w:val="00D2533E"/>
    <w:rsid w:val="00D42AFD"/>
    <w:rsid w:val="00D64AC7"/>
    <w:rsid w:val="00D82A94"/>
    <w:rsid w:val="00DA312E"/>
    <w:rsid w:val="00DD1B43"/>
    <w:rsid w:val="00DE1374"/>
    <w:rsid w:val="00DE23B5"/>
    <w:rsid w:val="00E04620"/>
    <w:rsid w:val="00E21EF2"/>
    <w:rsid w:val="00E36BF8"/>
    <w:rsid w:val="00E41147"/>
    <w:rsid w:val="00E51E01"/>
    <w:rsid w:val="00E70579"/>
    <w:rsid w:val="00E7468B"/>
    <w:rsid w:val="00E7656B"/>
    <w:rsid w:val="00E918BD"/>
    <w:rsid w:val="00E91CC3"/>
    <w:rsid w:val="00E97C64"/>
    <w:rsid w:val="00EB3B57"/>
    <w:rsid w:val="00EC20D8"/>
    <w:rsid w:val="00EC71F9"/>
    <w:rsid w:val="00ED0546"/>
    <w:rsid w:val="00EE5E25"/>
    <w:rsid w:val="00F21B54"/>
    <w:rsid w:val="00F234A8"/>
    <w:rsid w:val="00F318F9"/>
    <w:rsid w:val="00F47B12"/>
    <w:rsid w:val="00F67D5C"/>
    <w:rsid w:val="00F74C3F"/>
    <w:rsid w:val="00F756D7"/>
    <w:rsid w:val="00F7581D"/>
    <w:rsid w:val="00F8161B"/>
    <w:rsid w:val="00F94382"/>
    <w:rsid w:val="00FA3C6E"/>
    <w:rsid w:val="00FA3D2B"/>
    <w:rsid w:val="00FA6618"/>
    <w:rsid w:val="00FC5A64"/>
    <w:rsid w:val="00FD2931"/>
    <w:rsid w:val="00FD2E0B"/>
    <w:rsid w:val="00FE1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592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C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0CC0"/>
    <w:pPr>
      <w:widowControl w:val="0"/>
    </w:pPr>
    <w:rPr>
      <w:rFonts w:ascii="Courier New" w:hAnsi="Courier New"/>
    </w:rPr>
  </w:style>
  <w:style w:type="character" w:customStyle="1" w:styleId="PlainTextChar">
    <w:name w:val="Plain Text Char"/>
    <w:basedOn w:val="DefaultParagraphFont"/>
    <w:link w:val="PlainText"/>
    <w:uiPriority w:val="99"/>
    <w:locked/>
    <w:rsid w:val="00ED0546"/>
    <w:rPr>
      <w:rFonts w:ascii="Courier New" w:hAnsi="Courier New" w:cs="Courier New"/>
      <w:sz w:val="20"/>
      <w:szCs w:val="20"/>
    </w:rPr>
  </w:style>
  <w:style w:type="paragraph" w:styleId="Footer">
    <w:name w:val="footer"/>
    <w:basedOn w:val="Normal"/>
    <w:link w:val="FooterChar"/>
    <w:uiPriority w:val="99"/>
    <w:rsid w:val="009C0CC0"/>
    <w:pPr>
      <w:tabs>
        <w:tab w:val="center" w:pos="4320"/>
        <w:tab w:val="right" w:pos="8640"/>
      </w:tabs>
    </w:pPr>
    <w:rPr>
      <w:rFonts w:ascii="Helv" w:hAnsi="Helv"/>
      <w:sz w:val="24"/>
    </w:rPr>
  </w:style>
  <w:style w:type="character" w:customStyle="1" w:styleId="FooterChar">
    <w:name w:val="Footer Char"/>
    <w:basedOn w:val="DefaultParagraphFont"/>
    <w:link w:val="Footer"/>
    <w:uiPriority w:val="99"/>
    <w:semiHidden/>
    <w:locked/>
    <w:rsid w:val="00ED0546"/>
    <w:rPr>
      <w:rFonts w:cs="Times New Roman"/>
      <w:sz w:val="20"/>
      <w:szCs w:val="20"/>
    </w:rPr>
  </w:style>
  <w:style w:type="paragraph" w:styleId="Header">
    <w:name w:val="header"/>
    <w:basedOn w:val="Normal"/>
    <w:link w:val="HeaderChar"/>
    <w:uiPriority w:val="99"/>
    <w:rsid w:val="009C0CC0"/>
    <w:pPr>
      <w:widowControl w:val="0"/>
      <w:tabs>
        <w:tab w:val="center" w:pos="4320"/>
        <w:tab w:val="right" w:pos="8640"/>
      </w:tabs>
      <w:overflowPunct w:val="0"/>
      <w:autoSpaceDE w:val="0"/>
      <w:autoSpaceDN w:val="0"/>
      <w:adjustRightInd w:val="0"/>
      <w:textAlignment w:val="baseline"/>
    </w:pPr>
    <w:rPr>
      <w:rFonts w:ascii="Arial" w:hAnsi="Arial"/>
      <w:sz w:val="22"/>
    </w:rPr>
  </w:style>
  <w:style w:type="character" w:customStyle="1" w:styleId="HeaderChar">
    <w:name w:val="Header Char"/>
    <w:basedOn w:val="DefaultParagraphFont"/>
    <w:link w:val="Header"/>
    <w:uiPriority w:val="99"/>
    <w:locked/>
    <w:rsid w:val="00ED0546"/>
    <w:rPr>
      <w:rFonts w:cs="Times New Roman"/>
      <w:sz w:val="20"/>
      <w:szCs w:val="20"/>
    </w:rPr>
  </w:style>
  <w:style w:type="character" w:styleId="PageNumber">
    <w:name w:val="page number"/>
    <w:basedOn w:val="DefaultParagraphFont"/>
    <w:uiPriority w:val="99"/>
    <w:rsid w:val="009C0CC0"/>
    <w:rPr>
      <w:rFonts w:cs="Times New Roman"/>
    </w:rPr>
  </w:style>
  <w:style w:type="table" w:styleId="TableGrid">
    <w:name w:val="Table Grid"/>
    <w:basedOn w:val="TableNormal"/>
    <w:locked/>
    <w:rsid w:val="00E7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4F4"/>
    <w:rPr>
      <w:rFonts w:ascii="Tahoma" w:hAnsi="Tahoma" w:cs="Tahoma"/>
      <w:sz w:val="16"/>
      <w:szCs w:val="16"/>
    </w:rPr>
  </w:style>
  <w:style w:type="character" w:customStyle="1" w:styleId="BalloonTextChar">
    <w:name w:val="Balloon Text Char"/>
    <w:basedOn w:val="DefaultParagraphFont"/>
    <w:link w:val="BalloonText"/>
    <w:uiPriority w:val="99"/>
    <w:semiHidden/>
    <w:rsid w:val="00CA54F4"/>
    <w:rPr>
      <w:rFonts w:ascii="Tahoma" w:hAnsi="Tahoma" w:cs="Tahoma"/>
      <w:sz w:val="16"/>
      <w:szCs w:val="16"/>
    </w:rPr>
  </w:style>
  <w:style w:type="paragraph" w:customStyle="1" w:styleId="Default">
    <w:name w:val="Default"/>
    <w:rsid w:val="00D82A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C0"/>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C0CC0"/>
    <w:pPr>
      <w:widowControl w:val="0"/>
    </w:pPr>
    <w:rPr>
      <w:rFonts w:ascii="Courier New" w:hAnsi="Courier New"/>
    </w:rPr>
  </w:style>
  <w:style w:type="character" w:customStyle="1" w:styleId="PlainTextChar">
    <w:name w:val="Plain Text Char"/>
    <w:basedOn w:val="DefaultParagraphFont"/>
    <w:link w:val="PlainText"/>
    <w:uiPriority w:val="99"/>
    <w:locked/>
    <w:rsid w:val="00ED0546"/>
    <w:rPr>
      <w:rFonts w:ascii="Courier New" w:hAnsi="Courier New" w:cs="Courier New"/>
      <w:sz w:val="20"/>
      <w:szCs w:val="20"/>
    </w:rPr>
  </w:style>
  <w:style w:type="paragraph" w:styleId="Footer">
    <w:name w:val="footer"/>
    <w:basedOn w:val="Normal"/>
    <w:link w:val="FooterChar"/>
    <w:uiPriority w:val="99"/>
    <w:rsid w:val="009C0CC0"/>
    <w:pPr>
      <w:tabs>
        <w:tab w:val="center" w:pos="4320"/>
        <w:tab w:val="right" w:pos="8640"/>
      </w:tabs>
    </w:pPr>
    <w:rPr>
      <w:rFonts w:ascii="Helv" w:hAnsi="Helv"/>
      <w:sz w:val="24"/>
    </w:rPr>
  </w:style>
  <w:style w:type="character" w:customStyle="1" w:styleId="FooterChar">
    <w:name w:val="Footer Char"/>
    <w:basedOn w:val="DefaultParagraphFont"/>
    <w:link w:val="Footer"/>
    <w:uiPriority w:val="99"/>
    <w:semiHidden/>
    <w:locked/>
    <w:rsid w:val="00ED0546"/>
    <w:rPr>
      <w:rFonts w:cs="Times New Roman"/>
      <w:sz w:val="20"/>
      <w:szCs w:val="20"/>
    </w:rPr>
  </w:style>
  <w:style w:type="paragraph" w:styleId="Header">
    <w:name w:val="header"/>
    <w:basedOn w:val="Normal"/>
    <w:link w:val="HeaderChar"/>
    <w:uiPriority w:val="99"/>
    <w:rsid w:val="009C0CC0"/>
    <w:pPr>
      <w:widowControl w:val="0"/>
      <w:tabs>
        <w:tab w:val="center" w:pos="4320"/>
        <w:tab w:val="right" w:pos="8640"/>
      </w:tabs>
      <w:overflowPunct w:val="0"/>
      <w:autoSpaceDE w:val="0"/>
      <w:autoSpaceDN w:val="0"/>
      <w:adjustRightInd w:val="0"/>
      <w:textAlignment w:val="baseline"/>
    </w:pPr>
    <w:rPr>
      <w:rFonts w:ascii="Arial" w:hAnsi="Arial"/>
      <w:sz w:val="22"/>
    </w:rPr>
  </w:style>
  <w:style w:type="character" w:customStyle="1" w:styleId="HeaderChar">
    <w:name w:val="Header Char"/>
    <w:basedOn w:val="DefaultParagraphFont"/>
    <w:link w:val="Header"/>
    <w:uiPriority w:val="99"/>
    <w:locked/>
    <w:rsid w:val="00ED0546"/>
    <w:rPr>
      <w:rFonts w:cs="Times New Roman"/>
      <w:sz w:val="20"/>
      <w:szCs w:val="20"/>
    </w:rPr>
  </w:style>
  <w:style w:type="character" w:styleId="PageNumber">
    <w:name w:val="page number"/>
    <w:basedOn w:val="DefaultParagraphFont"/>
    <w:uiPriority w:val="99"/>
    <w:rsid w:val="009C0CC0"/>
    <w:rPr>
      <w:rFonts w:cs="Times New Roman"/>
    </w:rPr>
  </w:style>
  <w:style w:type="table" w:styleId="TableGrid">
    <w:name w:val="Table Grid"/>
    <w:basedOn w:val="TableNormal"/>
    <w:locked/>
    <w:rsid w:val="00E76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54F4"/>
    <w:rPr>
      <w:rFonts w:ascii="Tahoma" w:hAnsi="Tahoma" w:cs="Tahoma"/>
      <w:sz w:val="16"/>
      <w:szCs w:val="16"/>
    </w:rPr>
  </w:style>
  <w:style w:type="character" w:customStyle="1" w:styleId="BalloonTextChar">
    <w:name w:val="Balloon Text Char"/>
    <w:basedOn w:val="DefaultParagraphFont"/>
    <w:link w:val="BalloonText"/>
    <w:uiPriority w:val="99"/>
    <w:semiHidden/>
    <w:rsid w:val="00CA54F4"/>
    <w:rPr>
      <w:rFonts w:ascii="Tahoma" w:hAnsi="Tahoma" w:cs="Tahoma"/>
      <w:sz w:val="16"/>
      <w:szCs w:val="16"/>
    </w:rPr>
  </w:style>
  <w:style w:type="paragraph" w:customStyle="1" w:styleId="Default">
    <w:name w:val="Default"/>
    <w:rsid w:val="00D82A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2811">
      <w:bodyDiv w:val="1"/>
      <w:marLeft w:val="0"/>
      <w:marRight w:val="0"/>
      <w:marTop w:val="0"/>
      <w:marBottom w:val="0"/>
      <w:divBdr>
        <w:top w:val="none" w:sz="0" w:space="0" w:color="auto"/>
        <w:left w:val="none" w:sz="0" w:space="0" w:color="auto"/>
        <w:bottom w:val="none" w:sz="0" w:space="0" w:color="auto"/>
        <w:right w:val="none" w:sz="0" w:space="0" w:color="auto"/>
      </w:divBdr>
    </w:div>
    <w:div w:id="1588463201">
      <w:bodyDiv w:val="1"/>
      <w:marLeft w:val="0"/>
      <w:marRight w:val="0"/>
      <w:marTop w:val="0"/>
      <w:marBottom w:val="0"/>
      <w:divBdr>
        <w:top w:val="none" w:sz="0" w:space="0" w:color="auto"/>
        <w:left w:val="none" w:sz="0" w:space="0" w:color="auto"/>
        <w:bottom w:val="none" w:sz="0" w:space="0" w:color="auto"/>
        <w:right w:val="none" w:sz="0" w:space="0" w:color="auto"/>
      </w:divBdr>
    </w:div>
    <w:div w:id="17939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SAN FRANCISCO EMERGENCY MEDICAL SERVICES AGENCY</vt:lpstr>
    </vt:vector>
  </TitlesOfParts>
  <Company>Dept. of Public Health</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EMERGENCY MEDICAL SERVICES AGENCY</dc:title>
  <dc:creator>Megan Corry</dc:creator>
  <cp:lastModifiedBy>abronsto</cp:lastModifiedBy>
  <cp:revision>13</cp:revision>
  <cp:lastPrinted>2015-01-13T22:49:00Z</cp:lastPrinted>
  <dcterms:created xsi:type="dcterms:W3CDTF">2015-01-12T21:08:00Z</dcterms:created>
  <dcterms:modified xsi:type="dcterms:W3CDTF">2015-02-05T20:09:00Z</dcterms:modified>
</cp:coreProperties>
</file>